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8799337">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关于京广铁路以西区域供热管网提升改造项目一期工程申报政府专项债</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实施方案咨询服务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20"/>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6F44522D">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03BD77C7">
      <w:pPr>
        <w:spacing w:line="360" w:lineRule="auto"/>
        <w:jc w:val="center"/>
        <w:rPr>
          <w:rFonts w:hint="eastAsia" w:ascii="仿宋" w:hAnsi="仿宋" w:eastAsia="仿宋" w:cs="仿宋"/>
          <w:b/>
          <w:color w:val="auto"/>
          <w:sz w:val="36"/>
          <w:szCs w:val="36"/>
          <w:highlight w:val="none"/>
          <w:shd w:val="clear" w:color="auto" w:fill="auto"/>
        </w:rPr>
      </w:pPr>
    </w:p>
    <w:p w14:paraId="3B1B0667">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4F7C923">
      <w:pPr>
        <w:pStyle w:val="13"/>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EE3102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p>
    <w:p w14:paraId="5B6BD44C">
      <w:pPr>
        <w:pStyle w:val="8"/>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39E84C9">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default" w:ascii="Times New Roman" w:hAnsi="Times New Roman" w:eastAsia="仿宋_GB2312" w:cs="Times New Roman"/>
          <w:color w:val="auto"/>
          <w:sz w:val="32"/>
          <w:szCs w:val="32"/>
          <w:lang w:val="en-US" w:eastAsia="zh-CN"/>
        </w:rPr>
        <w:t>（以下简称“比选</w:t>
      </w:r>
      <w:r>
        <w:rPr>
          <w:rFonts w:hint="default" w:ascii="仿宋_GB2312" w:hAnsi="仿宋_GB2312" w:eastAsia="仿宋_GB2312" w:cs="仿宋_GB2312"/>
          <w:color w:val="auto"/>
          <w:sz w:val="32"/>
          <w:szCs w:val="32"/>
          <w:lang w:val="en-US" w:eastAsia="zh-CN"/>
        </w:rPr>
        <w:t>人”）拟通过比选方式选取一家有资质的咨询服务机构对</w:t>
      </w:r>
      <w:r>
        <w:rPr>
          <w:rFonts w:hint="eastAsia" w:ascii="仿宋_GB2312" w:hAnsi="仿宋_GB2312" w:eastAsia="仿宋_GB2312" w:cs="仿宋_GB2312"/>
          <w:color w:val="auto"/>
          <w:sz w:val="32"/>
          <w:szCs w:val="32"/>
          <w:lang w:val="en-US" w:eastAsia="zh-CN"/>
        </w:rPr>
        <w:t>京广铁路以西区域供热管网提升改造项目一期工程</w:t>
      </w:r>
      <w:r>
        <w:rPr>
          <w:rFonts w:hint="default" w:ascii="仿宋_GB2312" w:hAnsi="仿宋_GB2312" w:eastAsia="仿宋_GB2312" w:cs="仿宋_GB2312"/>
          <w:color w:val="auto"/>
          <w:sz w:val="32"/>
          <w:szCs w:val="32"/>
          <w:lang w:val="en-US" w:eastAsia="zh-CN"/>
        </w:rPr>
        <w:t>申报政府专项债提供实施方案咨询服务并出具项目实施方案，现诚邀符合资格条件的单位参加。</w:t>
      </w:r>
    </w:p>
    <w:p w14:paraId="6E0998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6C049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仿宋_GB2312" w:hAnsi="仿宋_GB2312" w:eastAsia="仿宋_GB2312" w:cs="仿宋_GB2312"/>
          <w:color w:val="auto"/>
          <w:sz w:val="32"/>
          <w:szCs w:val="32"/>
          <w:lang w:val="en-US" w:eastAsia="zh-CN"/>
        </w:rPr>
        <w:t>京广铁路以西区域供热管网提升改造项目一期工程</w:t>
      </w:r>
      <w:r>
        <w:rPr>
          <w:rFonts w:hint="default" w:ascii="Times New Roman" w:hAnsi="Times New Roman" w:eastAsia="仿宋_GB2312" w:cs="Times New Roman"/>
          <w:color w:val="auto"/>
          <w:sz w:val="32"/>
          <w:szCs w:val="32"/>
          <w:lang w:val="en-US" w:eastAsia="zh-CN"/>
        </w:rPr>
        <w:t>申报政府专项债实施方案咨询服务</w:t>
      </w:r>
    </w:p>
    <w:p w14:paraId="23C1D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许昌城投新能源科技有限公司</w:t>
      </w:r>
    </w:p>
    <w:p w14:paraId="7ED49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3.服务内容：</w:t>
      </w:r>
    </w:p>
    <w:p w14:paraId="0EC3BC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（1）在本次专项债申报过程中提供总体方案，并编制《项目实施方案》及相关配套文件；</w:t>
      </w:r>
    </w:p>
    <w:p w14:paraId="665B0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（2）作为牵头中介机构协调其他部门、机构完成《项目收益与融资自求平衡专项评价报告》、《事前绩效评价报告》、《法律意见书》等申报要件的编制及相关资料、数据的收集；</w:t>
      </w:r>
    </w:p>
    <w:p w14:paraId="518259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（3）协助</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采购人做好专项债申报、发行阶段省、市财政部门问题反馈补充，并协调各中介机构修订相关文件；</w:t>
      </w:r>
    </w:p>
    <w:p w14:paraId="15B94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（4）对本次</w:t>
      </w:r>
      <w:r>
        <w:rPr>
          <w:rFonts w:hint="eastAsia" w:ascii="Times New Roman" w:hAnsi="Times New Roman" w:eastAsia="仿宋_GB2312" w:cs="Times New Roman"/>
          <w:sz w:val="32"/>
          <w:szCs w:val="32"/>
          <w:lang w:val="en-US" w:eastAsia="zh-CN"/>
        </w:rPr>
        <w:t>实施方案</w:t>
      </w:r>
      <w:r>
        <w:rPr>
          <w:rFonts w:hint="default" w:ascii="Times New Roman" w:hAnsi="Times New Roman" w:eastAsia="仿宋_GB2312" w:cs="Times New Roman"/>
          <w:sz w:val="32"/>
          <w:szCs w:val="32"/>
          <w:lang w:val="en-US" w:eastAsia="zh-CN"/>
        </w:rPr>
        <w:t>编制过程中涉及的各方面问题，进行分析答疑。</w:t>
      </w:r>
    </w:p>
    <w:p w14:paraId="72D1A3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C3F2F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参与此次</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采购的申请人应具备以下条件：</w:t>
      </w:r>
    </w:p>
    <w:p w14:paraId="7F8F6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1.在中华人民共和国境内注册，具备独立法人资格，持有合法有效的企业法人营业执照；</w:t>
      </w:r>
    </w:p>
    <w:p w14:paraId="2526AE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2.具备出具《项目实施方案》的成功经验；</w:t>
      </w:r>
    </w:p>
    <w:p w14:paraId="0962A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3.申请人近三年未因重大的执业质量等问题受到通报、处罚，没有处于破产、被责令停业或存在其他违法行为；</w:t>
      </w:r>
    </w:p>
    <w:p w14:paraId="305E47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采购申请人未被列入“失信被执行人名单”，提供相关主体</w:t>
      </w:r>
      <w:r>
        <w:rPr>
          <w:rFonts w:hint="default" w:ascii="Times New Roman" w:hAnsi="Times New Roman" w:eastAsia="仿宋_GB2312" w:cs="Times New Roman"/>
          <w:color w:val="auto"/>
          <w:sz w:val="32"/>
          <w:szCs w:val="32"/>
          <w:lang w:val="en-US" w:eastAsia="zh-CN"/>
        </w:rPr>
        <w:t>（包括比选申请人、法定代表人、项目负责人）</w:t>
      </w:r>
      <w:r>
        <w:rPr>
          <w:rFonts w:hint="default" w:ascii="Times New Roman" w:hAnsi="Times New Roman" w:eastAsia="仿宋_GB2312" w:cs="Times New Roman"/>
          <w:sz w:val="32"/>
          <w:szCs w:val="32"/>
          <w:lang w:val="en-US" w:eastAsia="zh-CN"/>
        </w:rPr>
        <w:t>在“信用中国”网站“失信被执行人”情况查询记录（查询日期在</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采购公告发布日期当日或之后）。</w:t>
      </w:r>
    </w:p>
    <w:p w14:paraId="146CB66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2DABCD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1D60BF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5CD8F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highlight w:val="none"/>
          <w:lang w:val="en-US" w:eastAsia="zh-CN"/>
        </w:rPr>
        <w:t>2026年5月19日</w:t>
      </w:r>
      <w:r>
        <w:rPr>
          <w:rFonts w:hint="default"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highlight w:val="none"/>
          <w:lang w:eastAsia="zh-CN"/>
        </w:rPr>
        <w:t>前</w:t>
      </w:r>
      <w:r>
        <w:rPr>
          <w:rFonts w:hint="default" w:ascii="Times New Roman" w:hAnsi="Times New Roman" w:eastAsia="仿宋_GB2312" w:cs="Times New Roman"/>
          <w:color w:val="auto"/>
          <w:sz w:val="32"/>
          <w:szCs w:val="32"/>
          <w:lang w:eastAsia="zh-CN"/>
        </w:rPr>
        <w:t>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483D8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4B2A9D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04847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0AD5B0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112D44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6521CD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4FD1CB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00EE11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10.2万元</w:t>
      </w:r>
      <w:r>
        <w:rPr>
          <w:rFonts w:hint="default" w:ascii="Times New Roman" w:hAnsi="Times New Roman" w:eastAsia="仿宋_GB2312" w:cs="Times New Roman"/>
          <w:color w:val="auto"/>
          <w:sz w:val="32"/>
          <w:szCs w:val="32"/>
          <w:highlight w:val="none"/>
          <w:lang w:val="en-US" w:eastAsia="zh-CN"/>
        </w:rPr>
        <w:t>。</w:t>
      </w:r>
    </w:p>
    <w:p w14:paraId="68AEF2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397F2C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6"/>
      <w:bookmarkEnd w:id="0"/>
      <w:bookmarkStart w:id="1" w:name="_Toc28359008"/>
      <w:bookmarkEnd w:id="1"/>
      <w:bookmarkStart w:id="2" w:name="_Toc35393796"/>
      <w:bookmarkEnd w:id="2"/>
      <w:bookmarkStart w:id="3" w:name="_Toc35393795"/>
      <w:bookmarkEnd w:id="3"/>
      <w:bookmarkStart w:id="4" w:name="_Toc35393627"/>
      <w:bookmarkEnd w:id="4"/>
      <w:bookmarkStart w:id="5" w:name="_Toc28359085"/>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1EFB55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许昌城投新能源科技有限公司</w:t>
      </w:r>
    </w:p>
    <w:p w14:paraId="2AE7EF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4F5D7C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1108B3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3D2AAA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1537DCCD">
      <w:pPr>
        <w:pStyle w:val="13"/>
        <w:rPr>
          <w:rFonts w:hint="eastAsia" w:ascii="仿宋" w:hAnsi="仿宋" w:eastAsia="仿宋" w:cs="仿宋"/>
          <w:b/>
          <w:bCs/>
          <w:color w:val="auto"/>
          <w:sz w:val="24"/>
          <w:szCs w:val="24"/>
        </w:rPr>
      </w:pPr>
    </w:p>
    <w:p w14:paraId="38691600">
      <w:pPr>
        <w:pStyle w:val="14"/>
        <w:rPr>
          <w:rFonts w:hint="eastAsia"/>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8259A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在本次</w:t>
      </w:r>
      <w:r>
        <w:rPr>
          <w:rFonts w:hint="eastAsia" w:ascii="Times New Roman" w:hAnsi="Times New Roman" w:eastAsia="仿宋_GB2312" w:cs="Times New Roman"/>
          <w:color w:val="auto"/>
          <w:sz w:val="32"/>
          <w:szCs w:val="32"/>
          <w:lang w:eastAsia="zh-CN"/>
        </w:rPr>
        <w:t>专项债</w:t>
      </w:r>
      <w:r>
        <w:rPr>
          <w:rFonts w:hint="eastAsia" w:ascii="Times New Roman" w:hAnsi="Times New Roman" w:eastAsia="仿宋_GB2312" w:cs="Times New Roman"/>
          <w:color w:val="auto"/>
          <w:sz w:val="32"/>
          <w:szCs w:val="32"/>
        </w:rPr>
        <w:t>申报过程中提供</w:t>
      </w:r>
      <w:r>
        <w:rPr>
          <w:rFonts w:hint="eastAsia" w:ascii="Times New Roman" w:hAnsi="Times New Roman" w:eastAsia="仿宋_GB2312" w:cs="Times New Roman"/>
          <w:color w:val="auto"/>
          <w:sz w:val="32"/>
          <w:szCs w:val="32"/>
          <w:lang w:val="en-US" w:eastAsia="zh-CN"/>
        </w:rPr>
        <w:t>总体方案，并编制《项目实施方案》及相关配套文件</w:t>
      </w:r>
      <w:r>
        <w:rPr>
          <w:rFonts w:hint="eastAsia" w:ascii="Times New Roman" w:hAnsi="Times New Roman" w:eastAsia="仿宋_GB2312" w:cs="Times New Roman"/>
          <w:color w:val="auto"/>
          <w:sz w:val="32"/>
          <w:szCs w:val="32"/>
          <w:lang w:eastAsia="zh-CN"/>
        </w:rPr>
        <w:t>；</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作为牵头中介机构协调</w:t>
      </w:r>
      <w:r>
        <w:rPr>
          <w:rFonts w:hint="eastAsia" w:ascii="Times New Roman" w:hAnsi="Times New Roman" w:eastAsia="仿宋_GB2312" w:cs="Times New Roman"/>
          <w:color w:val="auto"/>
          <w:sz w:val="32"/>
          <w:szCs w:val="32"/>
          <w:lang w:val="en-US" w:eastAsia="zh-CN"/>
        </w:rPr>
        <w:t>其他相关</w:t>
      </w:r>
      <w:r>
        <w:rPr>
          <w:rFonts w:hint="eastAsia" w:ascii="Times New Roman" w:hAnsi="Times New Roman" w:eastAsia="仿宋_GB2312" w:cs="Times New Roman"/>
          <w:color w:val="auto"/>
          <w:sz w:val="32"/>
          <w:szCs w:val="32"/>
        </w:rPr>
        <w:t>机构完成《</w:t>
      </w:r>
      <w:r>
        <w:rPr>
          <w:rFonts w:hint="eastAsia" w:ascii="Times New Roman" w:hAnsi="Times New Roman" w:eastAsia="仿宋_GB2312" w:cs="Times New Roman"/>
          <w:color w:val="auto"/>
          <w:sz w:val="32"/>
          <w:szCs w:val="32"/>
          <w:lang w:val="en-US" w:eastAsia="zh-CN"/>
        </w:rPr>
        <w:t>项目收益与融资自求平衡专项评价报告》、《事前绩效评价报告》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《法律意见书》</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eastAsia="zh-CN"/>
        </w:rPr>
        <w:t>申报要件的编制及相关资料、数据的收集；</w:t>
      </w:r>
    </w:p>
    <w:p w14:paraId="7F6F81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协助</w:t>
      </w:r>
      <w:r>
        <w:rPr>
          <w:rFonts w:hint="eastAsia" w:ascii="Times New Roman" w:hAnsi="Times New Roman" w:eastAsia="仿宋_GB2312" w:cs="Times New Roman"/>
          <w:color w:val="auto"/>
          <w:sz w:val="32"/>
          <w:szCs w:val="32"/>
          <w:lang w:eastAsia="zh-CN"/>
        </w:rPr>
        <w:t>比选</w:t>
      </w:r>
      <w:r>
        <w:rPr>
          <w:rFonts w:hint="eastAsia" w:ascii="Times New Roman" w:hAnsi="Times New Roman" w:eastAsia="仿宋_GB2312" w:cs="Times New Roman"/>
          <w:color w:val="auto"/>
          <w:sz w:val="32"/>
          <w:szCs w:val="32"/>
        </w:rPr>
        <w:t>采购人</w:t>
      </w:r>
      <w:r>
        <w:rPr>
          <w:rFonts w:hint="eastAsia" w:ascii="Times New Roman" w:hAnsi="Times New Roman" w:eastAsia="仿宋_GB2312" w:cs="Times New Roman"/>
          <w:color w:val="auto"/>
          <w:sz w:val="32"/>
          <w:szCs w:val="32"/>
          <w:lang w:eastAsia="zh-CN"/>
        </w:rPr>
        <w:t>做好专项债申报、发行阶段省、市财</w:t>
      </w:r>
      <w:r>
        <w:rPr>
          <w:rFonts w:hint="eastAsia" w:ascii="Times New Roman" w:hAnsi="Times New Roman" w:eastAsia="仿宋_GB2312" w:cs="Times New Roman"/>
          <w:color w:val="auto"/>
          <w:sz w:val="32"/>
          <w:szCs w:val="32"/>
          <w:lang w:val="en-US" w:eastAsia="zh-CN"/>
        </w:rPr>
        <w:t>政部门问题反馈补充，并协调各中介机构修订相关文件。</w:t>
      </w:r>
    </w:p>
    <w:p w14:paraId="08A73A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4.对本次实施方案编制过程中涉及的各方面问题，进行分析答疑。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确定为中标人起10日内出具符合申报政府专项债要求的首版《项目实施方案》，不得以任何理由延迟交付。服务期限自中标结果公示之日起，</w:t>
      </w:r>
      <w:r>
        <w:rPr>
          <w:rFonts w:hint="eastAsia" w:ascii="仿宋_GB2312" w:hAnsi="仿宋_GB2312" w:eastAsia="仿宋_GB2312" w:cs="仿宋_GB2312"/>
          <w:color w:val="auto"/>
          <w:sz w:val="32"/>
          <w:szCs w:val="32"/>
          <w:lang w:val="en-US" w:eastAsia="zh-CN"/>
        </w:rPr>
        <w:t>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提供项目符合申请政府专项债要求的《项目</w:t>
      </w:r>
      <w:r>
        <w:rPr>
          <w:rFonts w:hint="eastAsia" w:eastAsia="仿宋_GB2312" w:cs="Times New Roman"/>
          <w:color w:val="000000"/>
          <w:kern w:val="0"/>
          <w:sz w:val="32"/>
          <w:szCs w:val="32"/>
          <w:highlight w:val="none"/>
          <w:lang w:val="en-US" w:eastAsia="zh-CN" w:bidi="ar"/>
        </w:rPr>
        <w:t>实施方案》，并完成全部申报金额发行。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10.2万元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京广铁路以西区域供热管网提升改造项目一期工程申报政府专项债实施方案咨询服务</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专项债申报过程中提供总体方案，并编制《项目实施方案》及相关配套文件；作为牵头中介机构协调其他相关机构完成《项目收益与融资自求平衡专项评价报告》、《事前绩效评价报告》、《法律意见书》等申报要件的编制及相关资料、数据的收集；协助比选采购人做好专项债申报、发行阶段省、市财政部门问题反馈补充，并协调各中介机构修订相关文件。</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63CE2B">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招标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★投标人资格</w:t>
            </w:r>
          </w:p>
        </w:tc>
        <w:tc>
          <w:tcPr>
            <w:tcW w:w="71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具备出具《项目实施方案》的成功经验；</w:t>
            </w:r>
          </w:p>
          <w:p w14:paraId="279DAF4A">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eastAsia="zh-CN"/>
              </w:rPr>
              <w:t>、比选采购申请人未被列入“失信被执行人名单”，提供相关主体</w:t>
            </w:r>
            <w:r>
              <w:rPr>
                <w:rFonts w:hint="default" w:ascii="仿宋" w:hAnsi="仿宋" w:eastAsia="仿宋" w:cs="仿宋"/>
                <w:bCs/>
                <w:color w:val="auto"/>
                <w:sz w:val="24"/>
                <w:szCs w:val="24"/>
                <w:highlight w:val="none"/>
                <w:lang w:val="en-US" w:eastAsia="zh-CN"/>
              </w:rPr>
              <w:t>（包括比选申请人、法定代表人、项目负责人）</w:t>
            </w:r>
            <w:r>
              <w:rPr>
                <w:rFonts w:hint="eastAsia" w:ascii="仿宋" w:hAnsi="仿宋" w:eastAsia="仿宋" w:cs="仿宋"/>
                <w:bCs/>
                <w:color w:val="auto"/>
                <w:sz w:val="24"/>
                <w:szCs w:val="24"/>
                <w:highlight w:val="none"/>
                <w:lang w:val="zh-CN" w:eastAsia="zh-CN"/>
              </w:rPr>
              <w:t>在“信用中国”网站“失信被执行人”情况查询记录（查询日期在比选采购公告发布日期当日或之后）。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0"/>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10.2万元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2026年5月19日18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10.2万元</w:t>
            </w:r>
            <w:r>
              <w:rPr>
                <w:rFonts w:hint="eastAsia" w:ascii="Times New Roman" w:hAnsi="Times New Roman" w:eastAsia="仿宋" w:cs="Times New Roman"/>
                <w:color w:val="000000"/>
                <w:kern w:val="0"/>
                <w:sz w:val="28"/>
                <w:szCs w:val="28"/>
                <w:highlight w:val="none"/>
                <w:lang w:val="en-US" w:eastAsia="zh-CN" w:bidi="ar"/>
              </w:rPr>
              <w:t>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本次项目实施方案咨询业务的</w:t>
            </w:r>
            <w:r>
              <w:rPr>
                <w:rFonts w:hint="eastAsia" w:eastAsia="仿宋" w:cs="Times New Roman"/>
                <w:color w:val="000000"/>
                <w:kern w:val="0"/>
                <w:sz w:val="28"/>
                <w:szCs w:val="28"/>
                <w:highlight w:val="none"/>
                <w:lang w:val="en-US" w:eastAsia="zh-CN" w:bidi="ar"/>
              </w:rPr>
              <w:t>取得</w:t>
            </w:r>
            <w:r>
              <w:rPr>
                <w:rFonts w:hint="default" w:ascii="Times New Roman" w:hAnsi="Times New Roman" w:eastAsia="仿宋" w:cs="Times New Roman"/>
                <w:color w:val="000000"/>
                <w:kern w:val="0"/>
                <w:sz w:val="28"/>
                <w:szCs w:val="28"/>
                <w:highlight w:val="none"/>
                <w:lang w:val="en-US" w:eastAsia="zh-CN" w:bidi="ar"/>
              </w:rPr>
              <w:t>经济相关</w:t>
            </w:r>
            <w:r>
              <w:rPr>
                <w:rFonts w:hint="eastAsia" w:ascii="Times New Roman" w:hAnsi="Times New Roman" w:eastAsia="仿宋" w:cs="Times New Roman"/>
                <w:color w:val="000000"/>
                <w:kern w:val="0"/>
                <w:sz w:val="28"/>
                <w:szCs w:val="28"/>
                <w:highlight w:val="none"/>
                <w:lang w:val="en-US" w:eastAsia="zh-CN" w:bidi="ar"/>
              </w:rPr>
              <w:t>中</w:t>
            </w:r>
            <w:r>
              <w:rPr>
                <w:rFonts w:hint="default" w:ascii="Times New Roman" w:hAnsi="Times New Roman" w:eastAsia="仿宋" w:cs="Times New Roman"/>
                <w:color w:val="000000"/>
                <w:kern w:val="0"/>
                <w:sz w:val="28"/>
                <w:szCs w:val="28"/>
                <w:highlight w:val="none"/>
                <w:lang w:val="en-US" w:eastAsia="zh-CN" w:bidi="ar"/>
              </w:rPr>
              <w:t>级</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含</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以上职称</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1.</w:t>
            </w:r>
            <w:r>
              <w:rPr>
                <w:rFonts w:hint="eastAsia" w:ascii="Times New Roman" w:hAnsi="Times New Roman" w:eastAsia="仿宋" w:cs="Times New Roman"/>
                <w:color w:val="000000"/>
                <w:kern w:val="0"/>
                <w:sz w:val="28"/>
                <w:szCs w:val="28"/>
                <w:highlight w:val="none"/>
                <w:lang w:val="en-US" w:eastAsia="zh-CN" w:bidi="ar"/>
              </w:rPr>
              <w:t>提供项目实施方案咨询服务时间安排优秀的得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宋体" w:hAnsi="宋体"/>
                <w:color w:val="auto"/>
                <w:sz w:val="28"/>
                <w:szCs w:val="28"/>
                <w:lang w:val="en-US" w:eastAsia="zh-CN"/>
              </w:rPr>
            </w:pPr>
            <w:r>
              <w:rPr>
                <w:rFonts w:hint="eastAsia" w:eastAsia="仿宋" w:cs="Times New Roman"/>
                <w:color w:val="000000"/>
                <w:kern w:val="0"/>
                <w:sz w:val="28"/>
                <w:szCs w:val="28"/>
                <w:highlight w:val="none"/>
                <w:lang w:val="en-US" w:eastAsia="zh-CN" w:bidi="ar"/>
              </w:rPr>
              <w:t>2.</w:t>
            </w:r>
            <w:r>
              <w:rPr>
                <w:rFonts w:hint="eastAsia" w:ascii="Times New Roman" w:hAnsi="Times New Roman" w:eastAsia="仿宋" w:cs="Times New Roman"/>
                <w:color w:val="000000"/>
                <w:kern w:val="0"/>
                <w:sz w:val="28"/>
                <w:szCs w:val="28"/>
                <w:highlight w:val="none"/>
                <w:lang w:val="en-US" w:eastAsia="zh-CN" w:bidi="ar"/>
              </w:rPr>
              <w:t>服务方案详细、全面、可行，在此次申报政府专项债过程中作为总牵头机构，</w:t>
            </w:r>
            <w:r>
              <w:rPr>
                <w:rFonts w:hint="eastAsia" w:eastAsia="仿宋" w:cs="Times New Roman"/>
                <w:color w:val="000000"/>
                <w:kern w:val="0"/>
                <w:sz w:val="28"/>
                <w:szCs w:val="28"/>
                <w:highlight w:val="none"/>
                <w:lang w:val="en-US" w:eastAsia="zh-CN" w:bidi="ar"/>
              </w:rPr>
              <w:t>统筹可研单位、律师事务所、会计师事务所等项目相关中介机构，协调沟通</w:t>
            </w:r>
            <w:r>
              <w:rPr>
                <w:rFonts w:hint="eastAsia" w:ascii="Times New Roman" w:hAnsi="Times New Roman" w:eastAsia="仿宋" w:cs="Times New Roman"/>
                <w:color w:val="000000"/>
                <w:kern w:val="0"/>
                <w:sz w:val="28"/>
                <w:szCs w:val="28"/>
                <w:highlight w:val="none"/>
                <w:lang w:val="en-US" w:eastAsia="zh-CN" w:bidi="ar"/>
              </w:rPr>
              <w:t>申报</w:t>
            </w:r>
            <w:r>
              <w:rPr>
                <w:rFonts w:hint="eastAsia" w:eastAsia="仿宋" w:cs="Times New Roman"/>
                <w:color w:val="000000"/>
                <w:kern w:val="0"/>
                <w:sz w:val="28"/>
                <w:szCs w:val="28"/>
                <w:highlight w:val="none"/>
                <w:lang w:val="en-US" w:eastAsia="zh-CN" w:bidi="ar"/>
              </w:rPr>
              <w:t>材料</w:t>
            </w:r>
            <w:r>
              <w:rPr>
                <w:rFonts w:hint="eastAsia" w:ascii="Times New Roman" w:hAnsi="Times New Roman" w:eastAsia="仿宋" w:cs="Times New Roman"/>
                <w:color w:val="000000"/>
                <w:kern w:val="0"/>
                <w:sz w:val="28"/>
                <w:szCs w:val="28"/>
                <w:highlight w:val="none"/>
                <w:lang w:val="en-US" w:eastAsia="zh-CN" w:bidi="ar"/>
              </w:rPr>
              <w:t>的编制及相关资料、数据的收集</w:t>
            </w:r>
            <w:r>
              <w:rPr>
                <w:rFonts w:hint="eastAsia" w:eastAsia="仿宋" w:cs="Times New Roman"/>
                <w:color w:val="000000"/>
                <w:kern w:val="0"/>
                <w:sz w:val="28"/>
                <w:szCs w:val="28"/>
                <w:highlight w:val="none"/>
                <w:lang w:val="en-US" w:eastAsia="zh-CN" w:bidi="ar"/>
              </w:rPr>
              <w:t>，包括但不限于</w:t>
            </w:r>
            <w:r>
              <w:rPr>
                <w:rFonts w:hint="eastAsia" w:ascii="Times New Roman" w:hAnsi="Times New Roman" w:eastAsia="仿宋" w:cs="Times New Roman"/>
                <w:color w:val="000000"/>
                <w:kern w:val="0"/>
                <w:sz w:val="28"/>
                <w:szCs w:val="28"/>
                <w:highlight w:val="none"/>
                <w:lang w:val="en-US" w:eastAsia="zh-CN" w:bidi="ar"/>
              </w:rPr>
              <w:t>申报流程、困难问题</w:t>
            </w:r>
            <w:r>
              <w:rPr>
                <w:rFonts w:hint="eastAsia" w:eastAsia="仿宋" w:cs="Times New Roman"/>
                <w:color w:val="000000"/>
                <w:kern w:val="0"/>
                <w:sz w:val="28"/>
                <w:szCs w:val="28"/>
                <w:highlight w:val="none"/>
                <w:lang w:val="en-US" w:eastAsia="zh-CN" w:bidi="ar"/>
              </w:rPr>
              <w:t>、评审意见反馈</w:t>
            </w:r>
            <w:r>
              <w:rPr>
                <w:rFonts w:hint="eastAsia" w:ascii="Times New Roman" w:hAnsi="Times New Roman" w:eastAsia="仿宋" w:cs="Times New Roman"/>
                <w:color w:val="000000"/>
                <w:kern w:val="0"/>
                <w:sz w:val="28"/>
                <w:szCs w:val="28"/>
                <w:highlight w:val="none"/>
                <w:lang w:val="en-US" w:eastAsia="zh-CN" w:bidi="ar"/>
              </w:rPr>
              <w:t>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每提供一份</w:t>
            </w:r>
            <w:r>
              <w:rPr>
                <w:rFonts w:hint="eastAsia" w:eastAsia="仿宋" w:cs="Times New Roman"/>
                <w:color w:val="000000"/>
                <w:kern w:val="0"/>
                <w:sz w:val="28"/>
                <w:szCs w:val="28"/>
                <w:highlight w:val="none"/>
                <w:lang w:val="en-US" w:eastAsia="zh-CN" w:bidi="ar"/>
              </w:rPr>
              <w:t>成功</w:t>
            </w:r>
            <w:r>
              <w:rPr>
                <w:rFonts w:hint="eastAsia" w:ascii="Times New Roman" w:hAnsi="Times New Roman" w:eastAsia="仿宋" w:cs="Times New Roman"/>
                <w:color w:val="000000"/>
                <w:kern w:val="0"/>
                <w:sz w:val="28"/>
                <w:szCs w:val="28"/>
                <w:highlight w:val="none"/>
                <w:lang w:val="en-US" w:eastAsia="zh-CN" w:bidi="ar"/>
              </w:rPr>
              <w:t>申报政府专项债实施方案</w:t>
            </w:r>
            <w:r>
              <w:rPr>
                <w:rFonts w:hint="eastAsia" w:eastAsia="仿宋" w:cs="Times New Roman"/>
                <w:color w:val="000000"/>
                <w:kern w:val="0"/>
                <w:sz w:val="28"/>
                <w:szCs w:val="28"/>
                <w:highlight w:val="none"/>
                <w:lang w:val="en-US" w:eastAsia="zh-CN" w:bidi="ar"/>
              </w:rPr>
              <w:t>业绩合同</w:t>
            </w:r>
            <w:r>
              <w:rPr>
                <w:rFonts w:hint="eastAsia" w:ascii="Times New Roman" w:hAnsi="Times New Roman" w:eastAsia="仿宋" w:cs="Times New Roman"/>
                <w:color w:val="000000"/>
                <w:kern w:val="0"/>
                <w:sz w:val="28"/>
                <w:szCs w:val="28"/>
                <w:highlight w:val="none"/>
                <w:lang w:val="en-US" w:eastAsia="zh-CN" w:bidi="ar"/>
              </w:rPr>
              <w:t>证明材料的得5分，最高20分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w:t>
            </w:r>
            <w:r>
              <w:rPr>
                <w:rFonts w:hint="eastAsia" w:eastAsia="仿宋" w:cs="Times New Roman"/>
                <w:color w:val="000000"/>
                <w:kern w:val="0"/>
                <w:sz w:val="28"/>
                <w:szCs w:val="28"/>
                <w:highlight w:val="none"/>
                <w:lang w:val="en-US" w:eastAsia="zh-CN" w:bidi="ar"/>
              </w:rPr>
              <w:t>3</w:t>
            </w:r>
            <w:r>
              <w:rPr>
                <w:rFonts w:hint="eastAsia" w:ascii="Times New Roman" w:hAnsi="Times New Roman" w:eastAsia="仿宋" w:cs="Times New Roman"/>
                <w:color w:val="000000"/>
                <w:kern w:val="0"/>
                <w:sz w:val="28"/>
                <w:szCs w:val="28"/>
                <w:highlight w:val="none"/>
                <w:lang w:val="en-US" w:eastAsia="zh-CN" w:bidi="ar"/>
              </w:rPr>
              <w:t>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276CD027">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京广铁路以西区域供热管网提升改造项目一期工程申报政府专项债实施方案咨询服务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8"/>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8"/>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8"/>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营业执照等（或相关执业许可材料）</w:t>
            </w:r>
          </w:p>
        </w:tc>
        <w:tc>
          <w:tcPr>
            <w:tcW w:w="1583" w:type="dxa"/>
            <w:vAlign w:val="center"/>
          </w:tcPr>
          <w:p w14:paraId="6D844527">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服务业绩</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3"/>
        <w:rPr>
          <w:rFonts w:hint="eastAsia" w:ascii="仿宋" w:hAnsi="仿宋" w:eastAsia="仿宋" w:cs="仿宋"/>
          <w:color w:val="auto"/>
          <w:sz w:val="24"/>
          <w:szCs w:val="24"/>
        </w:rPr>
      </w:pPr>
    </w:p>
    <w:p w14:paraId="5D33D664">
      <w:pPr>
        <w:pStyle w:val="14"/>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3"/>
        <w:rPr>
          <w:rFonts w:hint="eastAsia" w:ascii="仿宋" w:hAnsi="仿宋" w:eastAsia="仿宋" w:cs="仿宋"/>
          <w:color w:val="auto"/>
          <w:sz w:val="24"/>
          <w:szCs w:val="24"/>
        </w:rPr>
      </w:pPr>
    </w:p>
    <w:p w14:paraId="0AABE06A">
      <w:pPr>
        <w:pStyle w:val="14"/>
        <w:rPr>
          <w:rFonts w:hint="eastAsia" w:ascii="仿宋" w:hAnsi="仿宋" w:eastAsia="仿宋" w:cs="仿宋"/>
          <w:color w:val="auto"/>
          <w:sz w:val="24"/>
          <w:szCs w:val="24"/>
        </w:rPr>
      </w:pPr>
    </w:p>
    <w:p w14:paraId="60D40CDF">
      <w:pPr>
        <w:pStyle w:val="11"/>
        <w:rPr>
          <w:rFonts w:hint="eastAsia" w:ascii="仿宋" w:hAnsi="仿宋" w:eastAsia="仿宋" w:cs="仿宋"/>
          <w:color w:val="auto"/>
          <w:sz w:val="24"/>
          <w:szCs w:val="24"/>
        </w:rPr>
      </w:pPr>
    </w:p>
    <w:p w14:paraId="1C59E586">
      <w:pPr>
        <w:pStyle w:val="11"/>
        <w:rPr>
          <w:rFonts w:hint="eastAsia" w:ascii="仿宋" w:hAnsi="仿宋" w:eastAsia="仿宋" w:cs="仿宋"/>
          <w:color w:val="auto"/>
          <w:sz w:val="24"/>
          <w:szCs w:val="24"/>
        </w:rPr>
      </w:pPr>
    </w:p>
    <w:p w14:paraId="08EE9325">
      <w:pPr>
        <w:pStyle w:val="11"/>
        <w:rPr>
          <w:rFonts w:hint="eastAsia" w:ascii="仿宋" w:hAnsi="仿宋" w:eastAsia="仿宋" w:cs="仿宋"/>
          <w:color w:val="auto"/>
          <w:sz w:val="24"/>
          <w:szCs w:val="24"/>
        </w:rPr>
      </w:pPr>
    </w:p>
    <w:p w14:paraId="72F998DA">
      <w:pPr>
        <w:pStyle w:val="11"/>
        <w:rPr>
          <w:rFonts w:hint="eastAsia" w:ascii="仿宋" w:hAnsi="仿宋" w:eastAsia="仿宋" w:cs="仿宋"/>
          <w:color w:val="auto"/>
          <w:sz w:val="24"/>
          <w:szCs w:val="24"/>
        </w:rPr>
      </w:pPr>
    </w:p>
    <w:p w14:paraId="5B753709">
      <w:pPr>
        <w:pStyle w:val="14"/>
        <w:rPr>
          <w:rFonts w:hint="eastAsia" w:ascii="仿宋" w:hAnsi="仿宋" w:eastAsia="仿宋" w:cs="仿宋"/>
          <w:color w:val="auto"/>
          <w:sz w:val="24"/>
          <w:szCs w:val="24"/>
        </w:rPr>
      </w:pPr>
    </w:p>
    <w:p w14:paraId="043719FD">
      <w:pPr>
        <w:pStyle w:val="11"/>
        <w:rPr>
          <w:rFonts w:hint="eastAsia"/>
          <w:color w:val="auto"/>
        </w:rPr>
      </w:pPr>
    </w:p>
    <w:p w14:paraId="025FB6C6">
      <w:pPr>
        <w:rPr>
          <w:rFonts w:hint="eastAsia" w:ascii="仿宋" w:hAnsi="仿宋" w:eastAsia="仿宋" w:cs="仿宋"/>
          <w:color w:val="auto"/>
          <w:sz w:val="24"/>
          <w:szCs w:val="24"/>
        </w:rPr>
      </w:pPr>
    </w:p>
    <w:p w14:paraId="064E6B69">
      <w:pPr>
        <w:pStyle w:val="8"/>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8"/>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3"/>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8"/>
        <w:spacing w:line="360" w:lineRule="auto"/>
        <w:jc w:val="center"/>
        <w:rPr>
          <w:rFonts w:hint="eastAsia" w:ascii="仿宋" w:hAnsi="仿宋" w:eastAsia="仿宋" w:cs="仿宋"/>
          <w:b/>
          <w:snapToGrid w:val="0"/>
          <w:color w:val="auto"/>
          <w:kern w:val="0"/>
          <w:sz w:val="36"/>
          <w:szCs w:val="36"/>
          <w:lang w:eastAsia="zh-CN"/>
        </w:rPr>
      </w:pPr>
    </w:p>
    <w:p w14:paraId="074AE8DB">
      <w:pPr>
        <w:pStyle w:val="8"/>
        <w:spacing w:line="360" w:lineRule="auto"/>
        <w:jc w:val="center"/>
        <w:rPr>
          <w:rFonts w:hint="eastAsia" w:ascii="仿宋" w:hAnsi="仿宋" w:eastAsia="仿宋" w:cs="仿宋"/>
          <w:b/>
          <w:snapToGrid w:val="0"/>
          <w:color w:val="auto"/>
          <w:kern w:val="0"/>
          <w:sz w:val="36"/>
          <w:szCs w:val="36"/>
          <w:lang w:eastAsia="zh-CN"/>
        </w:rPr>
      </w:pPr>
    </w:p>
    <w:p w14:paraId="2A9DDA34">
      <w:pPr>
        <w:pStyle w:val="8"/>
        <w:spacing w:line="360" w:lineRule="auto"/>
        <w:jc w:val="center"/>
        <w:rPr>
          <w:rFonts w:hint="eastAsia" w:ascii="仿宋" w:hAnsi="仿宋" w:eastAsia="仿宋" w:cs="仿宋"/>
          <w:b/>
          <w:snapToGrid w:val="0"/>
          <w:color w:val="auto"/>
          <w:kern w:val="0"/>
          <w:sz w:val="36"/>
          <w:szCs w:val="36"/>
          <w:lang w:eastAsia="zh-CN"/>
        </w:rPr>
      </w:pPr>
    </w:p>
    <w:p w14:paraId="280B678D">
      <w:pPr>
        <w:pStyle w:val="8"/>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附营业执照等（或相关执业许可材料）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5A9930B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0194AC6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2E56B48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0ADC365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4F2D865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4005E73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法律咨询服务认证法规，依法诚信经营，无条件遵守本次比选活动的各项规定，我单位（本人）郑重承诺，我单位符合《中华人民共和国政府采购法》第二十二条规定和招标文件、本承诺书的条件： </w:t>
      </w:r>
    </w:p>
    <w:p w14:paraId="4AF7100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271C8B0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7D861C8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642A66B7">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（四）符合法律咨询服务资格、行政法规规定的其他条件。</w:t>
      </w:r>
    </w:p>
    <w:p w14:paraId="553ABA3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55F09AE2">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159903A8">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投标人（盖章）: </w:t>
      </w:r>
    </w:p>
    <w:p w14:paraId="09D4BCDE">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日期：   年   月  日</w:t>
      </w:r>
    </w:p>
    <w:p w14:paraId="7F17CECD">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6B06188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72EFF96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31FCA83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3910B71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257B2D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00667A4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72B7736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3FB5BFBA">
      <w:pPr>
        <w:ind w:firstLine="6400" w:firstLineChars="2000"/>
        <w:rPr>
          <w:rFonts w:hint="eastAsia" w:ascii="仿宋_GB2312" w:hAnsi="仿宋_GB2312" w:eastAsia="仿宋_GB2312" w:cs="仿宋_GB2312"/>
          <w:sz w:val="32"/>
          <w:szCs w:val="32"/>
        </w:rPr>
      </w:pPr>
    </w:p>
    <w:p w14:paraId="4E3A53D4">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28E2CB69">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8"/>
        <w:spacing w:line="360" w:lineRule="auto"/>
        <w:jc w:val="both"/>
        <w:rPr>
          <w:rFonts w:hint="eastAsia" w:ascii="仿宋" w:hAnsi="仿宋" w:eastAsia="仿宋" w:cs="仿宋"/>
          <w:b/>
          <w:bCs/>
          <w:color w:val="auto"/>
          <w:sz w:val="28"/>
          <w:szCs w:val="28"/>
          <w:highlight w:val="none"/>
          <w:lang w:val="en-US" w:eastAsia="zh-CN"/>
        </w:rPr>
      </w:pPr>
    </w:p>
    <w:p w14:paraId="11654CB6">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8"/>
        <w:spacing w:line="360" w:lineRule="auto"/>
        <w:jc w:val="center"/>
        <w:rPr>
          <w:rFonts w:hint="eastAsia" w:ascii="仿宋" w:hAnsi="仿宋" w:eastAsia="仿宋" w:cs="仿宋"/>
          <w:b/>
          <w:bCs/>
          <w:color w:val="auto"/>
          <w:sz w:val="28"/>
          <w:szCs w:val="28"/>
          <w:highlight w:val="none"/>
          <w:lang w:val="en-US" w:eastAsia="zh-CN"/>
        </w:rPr>
      </w:pPr>
    </w:p>
    <w:p w14:paraId="2D5A153B">
      <w:pPr>
        <w:pStyle w:val="8"/>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8"/>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经济相关中级及以上职称</w:t>
      </w:r>
      <w:r>
        <w:rPr>
          <w:rFonts w:hint="eastAsia" w:ascii="仿宋" w:hAnsi="仿宋" w:eastAsia="仿宋" w:cs="仿宋"/>
          <w:b/>
          <w:bCs/>
          <w:color w:val="auto"/>
          <w:sz w:val="28"/>
          <w:szCs w:val="28"/>
          <w:highlight w:val="none"/>
          <w:lang w:val="zh-CN"/>
        </w:rPr>
        <w:t>证明文件）</w:t>
      </w:r>
    </w:p>
    <w:p w14:paraId="3FA2751E">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E52068B">
      <w:pPr>
        <w:pStyle w:val="8"/>
        <w:spacing w:line="360" w:lineRule="auto"/>
        <w:jc w:val="center"/>
        <w:rPr>
          <w:rFonts w:hint="eastAsia" w:ascii="仿宋" w:hAnsi="仿宋" w:eastAsia="仿宋" w:cs="仿宋"/>
          <w:b/>
          <w:bCs/>
          <w:color w:val="auto"/>
          <w:sz w:val="28"/>
          <w:szCs w:val="28"/>
          <w:highlight w:val="none"/>
        </w:rPr>
      </w:pPr>
    </w:p>
    <w:p w14:paraId="3643D852">
      <w:pPr>
        <w:pStyle w:val="8"/>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8"/>
        <w:spacing w:line="360" w:lineRule="auto"/>
        <w:jc w:val="center"/>
        <w:rPr>
          <w:rFonts w:hint="eastAsia" w:ascii="仿宋" w:hAnsi="仿宋" w:eastAsia="仿宋" w:cs="仿宋"/>
          <w:b/>
          <w:bCs/>
          <w:color w:val="auto"/>
          <w:sz w:val="28"/>
          <w:szCs w:val="28"/>
          <w:highlight w:val="none"/>
        </w:rPr>
      </w:pPr>
    </w:p>
    <w:p w14:paraId="69305B96">
      <w:pPr>
        <w:pStyle w:val="8"/>
        <w:spacing w:line="360" w:lineRule="auto"/>
        <w:jc w:val="both"/>
        <w:rPr>
          <w:rFonts w:hint="eastAsia" w:ascii="仿宋" w:hAnsi="仿宋" w:eastAsia="仿宋" w:cs="仿宋"/>
          <w:b/>
          <w:bCs/>
          <w:color w:val="auto"/>
          <w:sz w:val="28"/>
          <w:szCs w:val="28"/>
          <w:highlight w:val="none"/>
        </w:rPr>
      </w:pPr>
    </w:p>
    <w:p w14:paraId="0D2A0D55">
      <w:pPr>
        <w:pStyle w:val="8"/>
        <w:spacing w:line="360" w:lineRule="auto"/>
        <w:jc w:val="both"/>
        <w:rPr>
          <w:rFonts w:hint="eastAsia" w:ascii="仿宋" w:hAnsi="仿宋" w:eastAsia="仿宋" w:cs="仿宋"/>
          <w:b/>
          <w:bCs/>
          <w:color w:val="auto"/>
          <w:sz w:val="28"/>
          <w:szCs w:val="28"/>
          <w:highlight w:val="none"/>
        </w:rPr>
      </w:pPr>
    </w:p>
    <w:p w14:paraId="5F0A48E6">
      <w:pPr>
        <w:pStyle w:val="8"/>
        <w:spacing w:line="360" w:lineRule="auto"/>
        <w:jc w:val="both"/>
        <w:rPr>
          <w:rFonts w:hint="eastAsia" w:ascii="仿宋" w:hAnsi="仿宋" w:eastAsia="仿宋" w:cs="仿宋"/>
          <w:b/>
          <w:bCs/>
          <w:color w:val="auto"/>
          <w:sz w:val="28"/>
          <w:szCs w:val="28"/>
          <w:highlight w:val="none"/>
        </w:rPr>
      </w:pPr>
    </w:p>
    <w:p w14:paraId="7F1AC204">
      <w:pPr>
        <w:pStyle w:val="8"/>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5.3服务业绩</w:t>
      </w:r>
    </w:p>
    <w:p w14:paraId="4801EEFC">
      <w:pPr>
        <w:pStyle w:val="8"/>
        <w:spacing w:line="360" w:lineRule="auto"/>
        <w:jc w:val="center"/>
        <w:rPr>
          <w:rFonts w:hint="eastAsia" w:ascii="仿宋" w:hAnsi="仿宋" w:eastAsia="仿宋" w:cs="仿宋"/>
          <w:b/>
          <w:bCs/>
          <w:color w:val="auto"/>
          <w:sz w:val="28"/>
          <w:szCs w:val="28"/>
          <w:highlight w:val="none"/>
          <w:lang w:val="zh-CN"/>
        </w:rPr>
      </w:pPr>
    </w:p>
    <w:p w14:paraId="2A050999">
      <w:pPr>
        <w:pStyle w:val="8"/>
        <w:spacing w:line="360" w:lineRule="auto"/>
        <w:jc w:val="center"/>
        <w:rPr>
          <w:rFonts w:hint="eastAsia" w:ascii="仿宋" w:hAnsi="仿宋" w:eastAsia="仿宋" w:cs="仿宋"/>
          <w:b/>
          <w:bCs/>
          <w:color w:val="auto"/>
          <w:sz w:val="28"/>
          <w:szCs w:val="28"/>
          <w:highlight w:val="none"/>
          <w:lang w:val="zh-CN"/>
        </w:rPr>
      </w:pPr>
    </w:p>
    <w:p w14:paraId="545428EA">
      <w:pPr>
        <w:pStyle w:val="8"/>
        <w:spacing w:line="360" w:lineRule="auto"/>
        <w:jc w:val="center"/>
        <w:rPr>
          <w:rFonts w:hint="eastAsia" w:ascii="仿宋" w:hAnsi="仿宋" w:eastAsia="仿宋" w:cs="仿宋"/>
          <w:b/>
          <w:bCs/>
          <w:color w:val="auto"/>
          <w:sz w:val="28"/>
          <w:szCs w:val="28"/>
          <w:highlight w:val="none"/>
          <w:lang w:val="zh-CN"/>
        </w:rPr>
      </w:pPr>
    </w:p>
    <w:p w14:paraId="37FEE5F6">
      <w:pPr>
        <w:pStyle w:val="8"/>
        <w:spacing w:line="360" w:lineRule="auto"/>
        <w:jc w:val="center"/>
        <w:rPr>
          <w:rFonts w:hint="eastAsia" w:ascii="仿宋" w:hAnsi="仿宋" w:eastAsia="仿宋" w:cs="仿宋"/>
          <w:b/>
          <w:bCs/>
          <w:color w:val="auto"/>
          <w:sz w:val="28"/>
          <w:szCs w:val="28"/>
          <w:highlight w:val="none"/>
          <w:lang w:val="en-US" w:eastAsia="zh-CN"/>
        </w:rPr>
      </w:pPr>
    </w:p>
    <w:p w14:paraId="306D9F1B">
      <w:pPr>
        <w:pStyle w:val="8"/>
        <w:spacing w:line="360" w:lineRule="auto"/>
        <w:jc w:val="center"/>
        <w:rPr>
          <w:rFonts w:hint="eastAsia" w:ascii="仿宋" w:hAnsi="仿宋" w:eastAsia="仿宋" w:cs="仿宋"/>
          <w:b/>
          <w:bCs/>
          <w:color w:val="auto"/>
          <w:sz w:val="28"/>
          <w:szCs w:val="28"/>
          <w:highlight w:val="none"/>
          <w:lang w:val="en-US" w:eastAsia="zh-CN"/>
        </w:rPr>
      </w:pPr>
    </w:p>
    <w:p w14:paraId="5BA00D9B">
      <w:pPr>
        <w:pStyle w:val="8"/>
        <w:spacing w:line="360" w:lineRule="auto"/>
        <w:jc w:val="center"/>
        <w:rPr>
          <w:rFonts w:hint="eastAsia" w:ascii="仿宋" w:hAnsi="仿宋" w:eastAsia="仿宋" w:cs="仿宋"/>
          <w:b/>
          <w:bCs/>
          <w:color w:val="auto"/>
          <w:sz w:val="28"/>
          <w:szCs w:val="28"/>
          <w:highlight w:val="none"/>
          <w:lang w:val="en-US" w:eastAsia="zh-CN"/>
        </w:rPr>
      </w:pPr>
    </w:p>
    <w:p w14:paraId="6B9F36A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8"/>
        <w:spacing w:line="360" w:lineRule="auto"/>
        <w:jc w:val="center"/>
        <w:rPr>
          <w:rFonts w:hint="eastAsia" w:ascii="仿宋" w:hAnsi="仿宋" w:eastAsia="仿宋" w:cs="仿宋"/>
          <w:b/>
          <w:bCs/>
          <w:color w:val="auto"/>
          <w:sz w:val="28"/>
          <w:szCs w:val="28"/>
          <w:highlight w:val="none"/>
        </w:rPr>
      </w:pPr>
    </w:p>
    <w:p w14:paraId="6FCF5EFB">
      <w:pPr>
        <w:pStyle w:val="8"/>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p w14:paraId="21AA1153">
      <w:pPr>
        <w:rPr>
          <w:strike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2360FF90-DE9B-4900-BD5E-303931BDCDB6}"/>
  </w:font>
  <w:font w:name="仿宋">
    <w:panose1 w:val="02010609060101010101"/>
    <w:charset w:val="86"/>
    <w:family w:val="auto"/>
    <w:pitch w:val="default"/>
    <w:sig w:usb0="800002BF" w:usb1="38CF7CFA" w:usb2="00000016" w:usb3="00000000" w:csb0="00040001" w:csb1="00000000"/>
    <w:embedRegular r:id="rId2" w:fontKey="{94EC4182-E2BE-4F62-94AE-74B23E437B9F}"/>
  </w:font>
  <w:font w:name="仿宋_GB2312">
    <w:panose1 w:val="02010609030101010101"/>
    <w:charset w:val="86"/>
    <w:family w:val="auto"/>
    <w:pitch w:val="default"/>
    <w:sig w:usb0="00000001" w:usb1="080E0000" w:usb2="00000000" w:usb3="00000000" w:csb0="00040000" w:csb1="00000000"/>
    <w:embedRegular r:id="rId3" w:fontKey="{50B1F7A4-77ED-45DA-8BC9-F0F87F0420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27311A"/>
    <w:rsid w:val="02A80913"/>
    <w:rsid w:val="02BF77F6"/>
    <w:rsid w:val="02FC45A7"/>
    <w:rsid w:val="030560A3"/>
    <w:rsid w:val="03B505D2"/>
    <w:rsid w:val="04021749"/>
    <w:rsid w:val="04566B35"/>
    <w:rsid w:val="046A44ED"/>
    <w:rsid w:val="04F03C97"/>
    <w:rsid w:val="052F52F4"/>
    <w:rsid w:val="057869E1"/>
    <w:rsid w:val="059D30B6"/>
    <w:rsid w:val="060A0D89"/>
    <w:rsid w:val="06104A21"/>
    <w:rsid w:val="066A1827"/>
    <w:rsid w:val="06F15AA5"/>
    <w:rsid w:val="06F930B6"/>
    <w:rsid w:val="06FA06BD"/>
    <w:rsid w:val="085A5FF7"/>
    <w:rsid w:val="08A55595"/>
    <w:rsid w:val="08CD0CAB"/>
    <w:rsid w:val="09413E70"/>
    <w:rsid w:val="0949606C"/>
    <w:rsid w:val="095664BF"/>
    <w:rsid w:val="09DE0417"/>
    <w:rsid w:val="0A454A85"/>
    <w:rsid w:val="0B5940BE"/>
    <w:rsid w:val="0B813B33"/>
    <w:rsid w:val="0C2F779B"/>
    <w:rsid w:val="0C3A33FD"/>
    <w:rsid w:val="0D5D5C42"/>
    <w:rsid w:val="0DC3331E"/>
    <w:rsid w:val="0E6757EE"/>
    <w:rsid w:val="0EA06CB7"/>
    <w:rsid w:val="0ECC4B2E"/>
    <w:rsid w:val="0F004A9B"/>
    <w:rsid w:val="0F27553F"/>
    <w:rsid w:val="0F791428"/>
    <w:rsid w:val="1034136D"/>
    <w:rsid w:val="106B4B1A"/>
    <w:rsid w:val="110E640B"/>
    <w:rsid w:val="11F823DD"/>
    <w:rsid w:val="12B5207C"/>
    <w:rsid w:val="12BC340B"/>
    <w:rsid w:val="130176FD"/>
    <w:rsid w:val="1360023A"/>
    <w:rsid w:val="136B0DB4"/>
    <w:rsid w:val="13855EF2"/>
    <w:rsid w:val="13B90CB9"/>
    <w:rsid w:val="144917C3"/>
    <w:rsid w:val="14D507B4"/>
    <w:rsid w:val="15716122"/>
    <w:rsid w:val="1582093B"/>
    <w:rsid w:val="159633AE"/>
    <w:rsid w:val="15AB5A56"/>
    <w:rsid w:val="166060ED"/>
    <w:rsid w:val="17175B61"/>
    <w:rsid w:val="17602EFE"/>
    <w:rsid w:val="1767603B"/>
    <w:rsid w:val="180A079D"/>
    <w:rsid w:val="18603991"/>
    <w:rsid w:val="18691943"/>
    <w:rsid w:val="18BF3C55"/>
    <w:rsid w:val="198F0C6A"/>
    <w:rsid w:val="19BF6E53"/>
    <w:rsid w:val="19D84FCE"/>
    <w:rsid w:val="19D918FD"/>
    <w:rsid w:val="1A1139B6"/>
    <w:rsid w:val="1B161797"/>
    <w:rsid w:val="1BA8718D"/>
    <w:rsid w:val="1C146065"/>
    <w:rsid w:val="1C314E69"/>
    <w:rsid w:val="1C7272F1"/>
    <w:rsid w:val="1E3E5127"/>
    <w:rsid w:val="1EB84FB4"/>
    <w:rsid w:val="1ED90DA1"/>
    <w:rsid w:val="1EFA1346"/>
    <w:rsid w:val="20E81880"/>
    <w:rsid w:val="20FC561D"/>
    <w:rsid w:val="21924E50"/>
    <w:rsid w:val="22130EA0"/>
    <w:rsid w:val="22A84529"/>
    <w:rsid w:val="22B239A9"/>
    <w:rsid w:val="236D2C2B"/>
    <w:rsid w:val="23911ECE"/>
    <w:rsid w:val="23F8720B"/>
    <w:rsid w:val="24E56118"/>
    <w:rsid w:val="25203CCD"/>
    <w:rsid w:val="25846482"/>
    <w:rsid w:val="259020DD"/>
    <w:rsid w:val="259F3EF0"/>
    <w:rsid w:val="25EB1F94"/>
    <w:rsid w:val="25FA2162"/>
    <w:rsid w:val="274C35FE"/>
    <w:rsid w:val="28163820"/>
    <w:rsid w:val="286271E5"/>
    <w:rsid w:val="287C03AF"/>
    <w:rsid w:val="29712EE5"/>
    <w:rsid w:val="2A7331BD"/>
    <w:rsid w:val="2AA76515"/>
    <w:rsid w:val="2BCE666F"/>
    <w:rsid w:val="2BE179EB"/>
    <w:rsid w:val="2BF87ED1"/>
    <w:rsid w:val="2BFF463C"/>
    <w:rsid w:val="2C0D6146"/>
    <w:rsid w:val="2C80789E"/>
    <w:rsid w:val="2CC12172"/>
    <w:rsid w:val="2D2057F2"/>
    <w:rsid w:val="2D835246"/>
    <w:rsid w:val="2E4862BB"/>
    <w:rsid w:val="2EB22C52"/>
    <w:rsid w:val="2EDF2503"/>
    <w:rsid w:val="2F2A6E19"/>
    <w:rsid w:val="30F73708"/>
    <w:rsid w:val="310444A3"/>
    <w:rsid w:val="32382BF4"/>
    <w:rsid w:val="33C259F7"/>
    <w:rsid w:val="33EA3E24"/>
    <w:rsid w:val="342F7C9D"/>
    <w:rsid w:val="34536B78"/>
    <w:rsid w:val="347C367B"/>
    <w:rsid w:val="354A65F0"/>
    <w:rsid w:val="36936B79"/>
    <w:rsid w:val="36F44ACE"/>
    <w:rsid w:val="376173AB"/>
    <w:rsid w:val="37B035DE"/>
    <w:rsid w:val="37E87D00"/>
    <w:rsid w:val="37ED3CDC"/>
    <w:rsid w:val="38C21BC7"/>
    <w:rsid w:val="391B682D"/>
    <w:rsid w:val="39613064"/>
    <w:rsid w:val="39AB5B17"/>
    <w:rsid w:val="3AC916FB"/>
    <w:rsid w:val="3AC9229B"/>
    <w:rsid w:val="3B175C66"/>
    <w:rsid w:val="3BA174BE"/>
    <w:rsid w:val="3BE61A23"/>
    <w:rsid w:val="3BED6258"/>
    <w:rsid w:val="3C1A7270"/>
    <w:rsid w:val="3C506712"/>
    <w:rsid w:val="3CBB635D"/>
    <w:rsid w:val="3D0E0B83"/>
    <w:rsid w:val="3D115F7D"/>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3F959BD"/>
    <w:rsid w:val="4431250F"/>
    <w:rsid w:val="44396802"/>
    <w:rsid w:val="444F192C"/>
    <w:rsid w:val="44E26451"/>
    <w:rsid w:val="44FC06F4"/>
    <w:rsid w:val="45282B95"/>
    <w:rsid w:val="45440D98"/>
    <w:rsid w:val="458435F4"/>
    <w:rsid w:val="45C5024D"/>
    <w:rsid w:val="45C937D0"/>
    <w:rsid w:val="45EF5E19"/>
    <w:rsid w:val="46B861D1"/>
    <w:rsid w:val="46BE746F"/>
    <w:rsid w:val="47DB18C9"/>
    <w:rsid w:val="47F839E2"/>
    <w:rsid w:val="484E2EA9"/>
    <w:rsid w:val="4881611D"/>
    <w:rsid w:val="49164ABC"/>
    <w:rsid w:val="49995C78"/>
    <w:rsid w:val="49BC3715"/>
    <w:rsid w:val="49D0470F"/>
    <w:rsid w:val="49FE2799"/>
    <w:rsid w:val="4A0238F5"/>
    <w:rsid w:val="4A952DAE"/>
    <w:rsid w:val="4B66509A"/>
    <w:rsid w:val="4BC845F3"/>
    <w:rsid w:val="4C1C493F"/>
    <w:rsid w:val="4C6753F2"/>
    <w:rsid w:val="4CD53C0E"/>
    <w:rsid w:val="4D325232"/>
    <w:rsid w:val="4D666E75"/>
    <w:rsid w:val="4D7A7B6F"/>
    <w:rsid w:val="4D814A59"/>
    <w:rsid w:val="4D926C66"/>
    <w:rsid w:val="4DE2074E"/>
    <w:rsid w:val="4DF80C26"/>
    <w:rsid w:val="4E994B9F"/>
    <w:rsid w:val="4F625BA7"/>
    <w:rsid w:val="4F7D3946"/>
    <w:rsid w:val="50447F7A"/>
    <w:rsid w:val="510A1419"/>
    <w:rsid w:val="51583D23"/>
    <w:rsid w:val="51AB02C4"/>
    <w:rsid w:val="51B3364F"/>
    <w:rsid w:val="52132340"/>
    <w:rsid w:val="52360357"/>
    <w:rsid w:val="529A65BD"/>
    <w:rsid w:val="52AD7609"/>
    <w:rsid w:val="52CD24EF"/>
    <w:rsid w:val="532742F5"/>
    <w:rsid w:val="535B4E77"/>
    <w:rsid w:val="53762B86"/>
    <w:rsid w:val="53B91F4B"/>
    <w:rsid w:val="55144E68"/>
    <w:rsid w:val="552C446C"/>
    <w:rsid w:val="5552317F"/>
    <w:rsid w:val="55820BFC"/>
    <w:rsid w:val="56312D95"/>
    <w:rsid w:val="567E742F"/>
    <w:rsid w:val="568E01E7"/>
    <w:rsid w:val="56CE3AA9"/>
    <w:rsid w:val="56F7363C"/>
    <w:rsid w:val="56FC732B"/>
    <w:rsid w:val="570022F2"/>
    <w:rsid w:val="570F4E24"/>
    <w:rsid w:val="57114ABA"/>
    <w:rsid w:val="57376C93"/>
    <w:rsid w:val="57BA4624"/>
    <w:rsid w:val="57BF3FA4"/>
    <w:rsid w:val="58555460"/>
    <w:rsid w:val="599277E8"/>
    <w:rsid w:val="59DD395F"/>
    <w:rsid w:val="59FE29BC"/>
    <w:rsid w:val="5AB126F6"/>
    <w:rsid w:val="5AE96334"/>
    <w:rsid w:val="5C07180B"/>
    <w:rsid w:val="5D1C02FB"/>
    <w:rsid w:val="5E2C6C63"/>
    <w:rsid w:val="5E8611A0"/>
    <w:rsid w:val="5EBA601D"/>
    <w:rsid w:val="5EE83DA2"/>
    <w:rsid w:val="5FE46C8E"/>
    <w:rsid w:val="5FEF5A95"/>
    <w:rsid w:val="60372166"/>
    <w:rsid w:val="6064477D"/>
    <w:rsid w:val="607B5C80"/>
    <w:rsid w:val="608E4C5E"/>
    <w:rsid w:val="60C44F62"/>
    <w:rsid w:val="60D54EE6"/>
    <w:rsid w:val="60F17CF0"/>
    <w:rsid w:val="6138581A"/>
    <w:rsid w:val="620A257E"/>
    <w:rsid w:val="62EE098B"/>
    <w:rsid w:val="6339119C"/>
    <w:rsid w:val="64764B06"/>
    <w:rsid w:val="648A3373"/>
    <w:rsid w:val="649E3CEB"/>
    <w:rsid w:val="65031DA0"/>
    <w:rsid w:val="65BB5819"/>
    <w:rsid w:val="66984259"/>
    <w:rsid w:val="677A27ED"/>
    <w:rsid w:val="6785255B"/>
    <w:rsid w:val="67AD5CEE"/>
    <w:rsid w:val="67B929BB"/>
    <w:rsid w:val="685C7FB7"/>
    <w:rsid w:val="686B482C"/>
    <w:rsid w:val="687D3C28"/>
    <w:rsid w:val="688C217B"/>
    <w:rsid w:val="68ED6FEF"/>
    <w:rsid w:val="6A8A7F43"/>
    <w:rsid w:val="6AA21139"/>
    <w:rsid w:val="6ADE7537"/>
    <w:rsid w:val="6CF07C20"/>
    <w:rsid w:val="6D0B0407"/>
    <w:rsid w:val="6D2E042E"/>
    <w:rsid w:val="6DBF6C55"/>
    <w:rsid w:val="6DD357EF"/>
    <w:rsid w:val="6DD864C0"/>
    <w:rsid w:val="6DE50C94"/>
    <w:rsid w:val="6E5A68B7"/>
    <w:rsid w:val="6F4A2780"/>
    <w:rsid w:val="70985E34"/>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78E4093"/>
    <w:rsid w:val="77D127E2"/>
    <w:rsid w:val="78441ADC"/>
    <w:rsid w:val="788E0646"/>
    <w:rsid w:val="79351E88"/>
    <w:rsid w:val="7950681C"/>
    <w:rsid w:val="79835BAD"/>
    <w:rsid w:val="79981D97"/>
    <w:rsid w:val="79ED50A1"/>
    <w:rsid w:val="7A120FA2"/>
    <w:rsid w:val="7A962EAF"/>
    <w:rsid w:val="7AAF67FA"/>
    <w:rsid w:val="7B761E64"/>
    <w:rsid w:val="7B9877B4"/>
    <w:rsid w:val="7BD57AA8"/>
    <w:rsid w:val="7C4B4E4D"/>
    <w:rsid w:val="7D3A51DB"/>
    <w:rsid w:val="7D4A0A5C"/>
    <w:rsid w:val="7DB517E0"/>
    <w:rsid w:val="7EC44AFE"/>
    <w:rsid w:val="7ECF2FC7"/>
    <w:rsid w:val="7F054669"/>
    <w:rsid w:val="7F2A644F"/>
    <w:rsid w:val="7F6B5368"/>
    <w:rsid w:val="7FFE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5023</Words>
  <Characters>5188</Characters>
  <Lines>0</Lines>
  <Paragraphs>0</Paragraphs>
  <TotalTime>0</TotalTime>
  <ScaleCrop>false</ScaleCrop>
  <LinksUpToDate>false</LinksUpToDate>
  <CharactersWithSpaces>5543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2026-05-13T02:07:25Z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647FF5CFAA4D4206B2E8AD624B5A0149_13</vt:lpwstr>
  </property>
  <property fmtid="{D5CDD505-2E9C-101B-9397-08002B2CF9AE}" pid="4" name="KSOTemplateDocerSaveRecord">
    <vt:lpwstr>eyJoZGlkIjoiOThmZjEwYzc0ZWY0ZTI5ZTI4YjE1MjBkNmY1M2ZiNzkiLCJ1c2VySWQiOiI4NjU1Nzg4MTMifQ==</vt:lpwstr>
  </property>
</Properties>
</file>