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3A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F26B6E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FA5EDF8">
      <w:pPr>
        <w:shd w:val="clear" w:color="auto" w:fill="auto"/>
        <w:spacing w:line="560" w:lineRule="exact"/>
        <w:jc w:val="center"/>
        <w:rPr>
          <w:rFonts w:ascii="仿宋_GB2312" w:hAnsi="仿宋" w:eastAsia="仿宋_GB2312" w:cs="仿宋"/>
          <w:b/>
          <w:sz w:val="32"/>
          <w:szCs w:val="32"/>
        </w:rPr>
      </w:pPr>
    </w:p>
    <w:tbl>
      <w:tblPr>
        <w:tblStyle w:val="15"/>
        <w:tblW w:w="8683" w:type="dxa"/>
        <w:tblInd w:w="0" w:type="dxa"/>
        <w:tblLayout w:type="fixed"/>
        <w:tblCellMar>
          <w:top w:w="15" w:type="dxa"/>
          <w:left w:w="15" w:type="dxa"/>
          <w:bottom w:w="15" w:type="dxa"/>
          <w:right w:w="15" w:type="dxa"/>
        </w:tblCellMar>
      </w:tblPr>
      <w:tblGrid>
        <w:gridCol w:w="3134"/>
        <w:gridCol w:w="5549"/>
      </w:tblGrid>
      <w:tr w14:paraId="61F1321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F8C8E9">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6766528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京广铁路以西区域供热管网提升改造项目二期工程工程</w:t>
            </w:r>
            <w:r>
              <w:rPr>
                <w:rFonts w:hint="default" w:ascii="仿宋_GB2312" w:hAnsi="仿宋_GB2312" w:eastAsia="仿宋_GB2312" w:cs="仿宋_GB2312"/>
                <w:sz w:val="32"/>
                <w:szCs w:val="32"/>
                <w:lang w:val="en-US" w:eastAsia="zh-CN"/>
              </w:rPr>
              <w:t>总承包（EPC）招标代理</w:t>
            </w:r>
          </w:p>
        </w:tc>
      </w:tr>
      <w:tr w14:paraId="3359A7D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CB61C2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53D52B80">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8B9D44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B70C7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00BC178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908499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6DB792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65049D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45276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B4C825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663B1285">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7FC8B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24F56B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51D55C2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39FFD88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2C90A3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8CF6190">
      <w:pPr>
        <w:pStyle w:val="4"/>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161FBEC">
      <w:pPr>
        <w:rPr>
          <w:rFonts w:hint="eastAsia" w:ascii="仿宋_GB2312" w:hAnsi="仿宋_GB2312" w:eastAsia="仿宋_GB2312" w:cs="仿宋_GB2312"/>
          <w:sz w:val="32"/>
          <w:szCs w:val="32"/>
          <w:highlight w:val="none"/>
          <w:lang w:val="en-US" w:eastAsia="zh-CN"/>
        </w:rPr>
      </w:pPr>
    </w:p>
    <w:p w14:paraId="518DBE6D">
      <w:pPr>
        <w:rPr>
          <w:rFonts w:hint="eastAsia" w:ascii="仿宋_GB2312" w:hAnsi="仿宋_GB2312" w:eastAsia="仿宋_GB2312" w:cs="仿宋_GB2312"/>
          <w:sz w:val="32"/>
          <w:szCs w:val="32"/>
          <w:highlight w:val="none"/>
          <w:lang w:val="en-US" w:eastAsia="zh-CN"/>
        </w:rPr>
      </w:pPr>
    </w:p>
    <w:p w14:paraId="7E2F5B1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3492EB0">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4EFF9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2D343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9492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D1B64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1B051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127E2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2ED2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B3E3494">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924E1E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F9E7CB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59FFA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3AD3232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E86CDF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01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6E39E23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7400E6C4">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C2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BA2F77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95DA7B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5D593F7">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28D3502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5197B5C8">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0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393039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593DE1B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C40A41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2091E0E0">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7A8079B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34974E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37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58F495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7CFAB5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3DB991B">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自2023年1月1日起承接过工程类招标代理服务的，每项得5分，本项最高得20分。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0E9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304644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D05B0C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9C88071">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0C20E36D">
            <w:pPr>
              <w:pStyle w:val="13"/>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1E6589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439D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202B21B6">
      <w:pPr>
        <w:pStyle w:val="13"/>
        <w:rPr>
          <w:rFonts w:hint="eastAsia" w:ascii="仿宋" w:hAnsi="仿宋" w:eastAsia="仿宋" w:cs="仿宋"/>
          <w:sz w:val="32"/>
          <w:szCs w:val="32"/>
          <w:highlight w:val="none"/>
          <w:lang w:val="en-US" w:eastAsia="zh-CN"/>
        </w:rPr>
      </w:pPr>
    </w:p>
    <w:p w14:paraId="72587CCB">
      <w:pPr>
        <w:pStyle w:val="14"/>
        <w:rPr>
          <w:rFonts w:hint="eastAsia" w:ascii="仿宋" w:hAnsi="仿宋" w:eastAsia="仿宋" w:cs="仿宋"/>
          <w:sz w:val="32"/>
          <w:szCs w:val="32"/>
          <w:highlight w:val="none"/>
          <w:lang w:val="en-US" w:eastAsia="zh-CN"/>
        </w:rPr>
      </w:pPr>
    </w:p>
    <w:p w14:paraId="6D3B8256">
      <w:pPr>
        <w:pStyle w:val="14"/>
        <w:rPr>
          <w:rFonts w:hint="eastAsia" w:ascii="仿宋" w:hAnsi="仿宋" w:eastAsia="仿宋" w:cs="仿宋"/>
          <w:sz w:val="32"/>
          <w:szCs w:val="32"/>
          <w:highlight w:val="none"/>
          <w:lang w:val="en-US" w:eastAsia="zh-CN"/>
        </w:rPr>
      </w:pPr>
    </w:p>
    <w:p w14:paraId="328C6A51">
      <w:pPr>
        <w:pStyle w:val="14"/>
        <w:rPr>
          <w:rFonts w:hint="eastAsia" w:ascii="仿宋" w:hAnsi="仿宋" w:eastAsia="仿宋" w:cs="仿宋"/>
          <w:sz w:val="32"/>
          <w:szCs w:val="32"/>
          <w:highlight w:val="none"/>
          <w:lang w:val="en-US" w:eastAsia="zh-CN"/>
        </w:rPr>
      </w:pPr>
    </w:p>
    <w:p w14:paraId="2609AF1E">
      <w:pPr>
        <w:pStyle w:val="14"/>
        <w:rPr>
          <w:rFonts w:hint="eastAsia" w:ascii="仿宋" w:hAnsi="仿宋" w:eastAsia="仿宋" w:cs="仿宋"/>
          <w:sz w:val="32"/>
          <w:szCs w:val="32"/>
          <w:highlight w:val="none"/>
          <w:lang w:val="en-US" w:eastAsia="zh-CN"/>
        </w:rPr>
      </w:pPr>
    </w:p>
    <w:p w14:paraId="7587ACBA">
      <w:pPr>
        <w:pStyle w:val="14"/>
        <w:rPr>
          <w:rFonts w:hint="eastAsia" w:ascii="仿宋" w:hAnsi="仿宋" w:eastAsia="仿宋" w:cs="仿宋"/>
          <w:sz w:val="32"/>
          <w:szCs w:val="32"/>
          <w:highlight w:val="none"/>
          <w:lang w:val="en-US" w:eastAsia="zh-CN"/>
        </w:rPr>
      </w:pPr>
    </w:p>
    <w:p w14:paraId="3B01DA84">
      <w:pPr>
        <w:pStyle w:val="14"/>
        <w:rPr>
          <w:rFonts w:hint="eastAsia" w:ascii="仿宋" w:hAnsi="仿宋" w:eastAsia="仿宋" w:cs="仿宋"/>
          <w:sz w:val="32"/>
          <w:szCs w:val="32"/>
          <w:highlight w:val="none"/>
          <w:lang w:val="en-US" w:eastAsia="zh-CN"/>
        </w:rPr>
      </w:pPr>
    </w:p>
    <w:p w14:paraId="786B8916">
      <w:pPr>
        <w:pStyle w:val="14"/>
        <w:rPr>
          <w:rFonts w:hint="eastAsia" w:ascii="仿宋" w:hAnsi="仿宋" w:eastAsia="仿宋" w:cs="仿宋"/>
          <w:sz w:val="32"/>
          <w:szCs w:val="32"/>
          <w:highlight w:val="none"/>
          <w:lang w:val="en-US" w:eastAsia="zh-CN"/>
        </w:rPr>
      </w:pPr>
    </w:p>
    <w:p w14:paraId="7620BEED">
      <w:pPr>
        <w:pStyle w:val="14"/>
        <w:rPr>
          <w:rFonts w:hint="eastAsia" w:ascii="仿宋" w:hAnsi="仿宋" w:eastAsia="仿宋" w:cs="仿宋"/>
          <w:sz w:val="32"/>
          <w:szCs w:val="32"/>
          <w:highlight w:val="none"/>
          <w:lang w:val="en-US" w:eastAsia="zh-CN"/>
        </w:rPr>
      </w:pPr>
    </w:p>
    <w:p w14:paraId="742281E6">
      <w:pPr>
        <w:pStyle w:val="14"/>
        <w:ind w:left="0" w:leftChars="0" w:firstLine="0" w:firstLineChars="0"/>
        <w:rPr>
          <w:rFonts w:hint="eastAsia" w:ascii="仿宋" w:hAnsi="仿宋" w:eastAsia="仿宋" w:cs="仿宋"/>
          <w:sz w:val="32"/>
          <w:szCs w:val="32"/>
          <w:highlight w:val="none"/>
          <w:lang w:val="en-US" w:eastAsia="zh-CN"/>
        </w:rPr>
      </w:pPr>
    </w:p>
    <w:p w14:paraId="1AB8013F">
      <w:pPr>
        <w:pStyle w:val="1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D5B64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E80535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FE83A5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71BB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777E65C">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48196D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88F2D0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E8E9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9B2357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DE3B44">
      <w:pPr>
        <w:ind w:firstLine="6400" w:firstLineChars="2000"/>
        <w:rPr>
          <w:rFonts w:hint="eastAsia" w:ascii="仿宋_GB2312" w:hAnsi="仿宋_GB2312" w:eastAsia="仿宋_GB2312" w:cs="仿宋_GB2312"/>
          <w:sz w:val="32"/>
          <w:szCs w:val="32"/>
        </w:rPr>
      </w:pPr>
    </w:p>
    <w:p w14:paraId="3BE33FB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603DCC8">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3BBDC2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00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9D768">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79D768">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83C7D45"/>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465BE0"/>
    <w:rsid w:val="309143F1"/>
    <w:rsid w:val="31187CAE"/>
    <w:rsid w:val="331104CE"/>
    <w:rsid w:val="35DA0371"/>
    <w:rsid w:val="36EC5FD8"/>
    <w:rsid w:val="396F1F22"/>
    <w:rsid w:val="39B06AF4"/>
    <w:rsid w:val="3A001C20"/>
    <w:rsid w:val="3B930354"/>
    <w:rsid w:val="3BFE6232"/>
    <w:rsid w:val="3D1D6AF8"/>
    <w:rsid w:val="41100796"/>
    <w:rsid w:val="438D7307"/>
    <w:rsid w:val="43ED3613"/>
    <w:rsid w:val="454A3AE3"/>
    <w:rsid w:val="461026EE"/>
    <w:rsid w:val="464042EF"/>
    <w:rsid w:val="47B42BE7"/>
    <w:rsid w:val="47FB2A68"/>
    <w:rsid w:val="4A3D2009"/>
    <w:rsid w:val="4B2116C3"/>
    <w:rsid w:val="509A4CF2"/>
    <w:rsid w:val="589C7FC2"/>
    <w:rsid w:val="592D19D8"/>
    <w:rsid w:val="596040BD"/>
    <w:rsid w:val="5CF873CF"/>
    <w:rsid w:val="61215F42"/>
    <w:rsid w:val="629E645C"/>
    <w:rsid w:val="62F72DBF"/>
    <w:rsid w:val="63B41DA5"/>
    <w:rsid w:val="64E3180B"/>
    <w:rsid w:val="655F1E1A"/>
    <w:rsid w:val="68F608D3"/>
    <w:rsid w:val="6BA97B57"/>
    <w:rsid w:val="6CAC04F4"/>
    <w:rsid w:val="70722F5B"/>
    <w:rsid w:val="70D44079"/>
    <w:rsid w:val="768D3F82"/>
    <w:rsid w:val="77E57406"/>
    <w:rsid w:val="79E97840"/>
    <w:rsid w:val="7B0E5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4">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__正文"/>
    <w:basedOn w:val="1"/>
    <w:qFormat/>
    <w:uiPriority w:val="0"/>
    <w:pPr>
      <w:spacing w:line="480" w:lineRule="exact"/>
      <w:ind w:firstLine="200"/>
    </w:pPr>
    <w:rPr>
      <w:rFonts w:cs="Times New Roman"/>
      <w:kern w:val="0"/>
    </w:rPr>
  </w:style>
  <w:style w:type="paragraph" w:styleId="5">
    <w:name w:val="Body Text"/>
    <w:basedOn w:val="1"/>
    <w:next w:val="6"/>
    <w:qFormat/>
    <w:uiPriority w:val="0"/>
    <w:pPr>
      <w:jc w:val="center"/>
    </w:pPr>
    <w:rPr>
      <w:rFonts w:ascii="Times New Roman" w:hAnsi="Times New Roman" w:eastAsia="黑体" w:cs="Times New Roman"/>
      <w:sz w:val="36"/>
      <w:szCs w:val="20"/>
    </w:rPr>
  </w:style>
  <w:style w:type="paragraph" w:styleId="6">
    <w:name w:val="Body Text 2"/>
    <w:basedOn w:val="1"/>
    <w:qFormat/>
    <w:uiPriority w:val="0"/>
    <w:pPr>
      <w:spacing w:line="480" w:lineRule="auto"/>
    </w:pPr>
    <w:rPr>
      <w:rFonts w:ascii="Times New Roman" w:hAnsi="Times New Roman" w:eastAsia="宋体" w:cs="Times New Roman"/>
    </w:rPr>
  </w:style>
  <w:style w:type="paragraph" w:styleId="7">
    <w:name w:val="Body Text Indent"/>
    <w:basedOn w:val="1"/>
    <w:next w:val="8"/>
    <w:qFormat/>
    <w:uiPriority w:val="99"/>
    <w:pPr>
      <w:spacing w:after="120"/>
      <w:ind w:left="420" w:leftChars="200"/>
    </w:p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3">
    <w:name w:val="Body Text First Indent"/>
    <w:basedOn w:val="5"/>
    <w:next w:val="14"/>
    <w:qFormat/>
    <w:uiPriority w:val="0"/>
    <w:pPr>
      <w:ind w:firstLine="420" w:firstLineChars="100"/>
    </w:pPr>
    <w:rPr>
      <w:rFonts w:ascii="宋体" w:hAnsi="Times New Roman" w:eastAsia="宋体" w:cs="Times New Roman"/>
      <w:kern w:val="0"/>
      <w:sz w:val="34"/>
      <w:szCs w:val="20"/>
    </w:rPr>
  </w:style>
  <w:style w:type="paragraph" w:styleId="14">
    <w:name w:val="Body Text First Indent 2"/>
    <w:basedOn w:val="7"/>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7">
    <w:name w:val="Hyperlink"/>
    <w:basedOn w:val="16"/>
    <w:qFormat/>
    <w:uiPriority w:val="0"/>
    <w:rPr>
      <w:color w:val="0000FF"/>
      <w:u w:val="single"/>
    </w:rPr>
  </w:style>
  <w:style w:type="paragraph" w:customStyle="1" w:styleId="18">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9">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884</Words>
  <Characters>924</Characters>
  <Lines>0</Lines>
  <Paragraphs>0</Paragraphs>
  <TotalTime>1</TotalTime>
  <ScaleCrop>false</ScaleCrop>
  <LinksUpToDate>false</LinksUpToDate>
  <CharactersWithSpaces>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2026-04-08T01:41:49Z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0F2A8C3D72794C468FAD4341A22E90B7_13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