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02F82">
      <w:pPr>
        <w:pStyle w:val="9"/>
        <w:keepNext/>
        <w:keepLines/>
        <w:pageBreakBefore w:val="0"/>
        <w:widowControl/>
        <w:numPr>
          <w:ilvl w:val="1"/>
          <w:numId w:val="0"/>
        </w:numPr>
        <w:kinsoku/>
        <w:wordWrap/>
        <w:overflowPunct/>
        <w:topLinePunct w:val="0"/>
        <w:autoSpaceDE/>
        <w:autoSpaceDN/>
        <w:bidi w:val="0"/>
        <w:adjustRightInd w:val="0"/>
        <w:snapToGrid/>
        <w:spacing w:line="240" w:lineRule="exact"/>
        <w:jc w:val="left"/>
        <w:textAlignment w:val="baseline"/>
        <w:rPr>
          <w:rFonts w:hint="eastAsia"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72BC4F93">
      <w:pPr>
        <w:rPr>
          <w:rFonts w:hint="default" w:ascii="Times New Roman" w:hAnsi="Times New Roman" w:eastAsia="仿宋" w:cs="Times New Roman"/>
          <w:b/>
          <w:snapToGrid w:val="0"/>
          <w:color w:val="auto"/>
          <w:kern w:val="0"/>
          <w:sz w:val="24"/>
          <w:szCs w:val="24"/>
        </w:rPr>
      </w:pPr>
    </w:p>
    <w:p w14:paraId="34C85076">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8F6FAE8">
      <w:pPr>
        <w:shd w:val="clear" w:color="auto" w:fill="auto"/>
        <w:spacing w:line="560" w:lineRule="exact"/>
        <w:jc w:val="center"/>
        <w:rPr>
          <w:rFonts w:ascii="仿宋_GB2312" w:hAnsi="仿宋" w:eastAsia="仿宋_GB2312" w:cs="仿宋"/>
          <w:b/>
          <w:sz w:val="32"/>
          <w:szCs w:val="32"/>
        </w:rPr>
      </w:pPr>
    </w:p>
    <w:tbl>
      <w:tblPr>
        <w:tblStyle w:val="15"/>
        <w:tblW w:w="8683" w:type="dxa"/>
        <w:tblInd w:w="0" w:type="dxa"/>
        <w:tblLayout w:type="fixed"/>
        <w:tblCellMar>
          <w:top w:w="15" w:type="dxa"/>
          <w:left w:w="15" w:type="dxa"/>
          <w:bottom w:w="15" w:type="dxa"/>
          <w:right w:w="15" w:type="dxa"/>
        </w:tblCellMar>
      </w:tblPr>
      <w:tblGrid>
        <w:gridCol w:w="3200"/>
        <w:gridCol w:w="5483"/>
      </w:tblGrid>
      <w:tr w14:paraId="6D67FE2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55D26AB">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2AB9CBE9">
            <w:pPr>
              <w:bidi w:val="0"/>
              <w:rPr>
                <w:rFonts w:hint="default" w:ascii="Times New Roman" w:hAnsi="Times New Roman" w:eastAsia="仿宋" w:cs="Times New Roman"/>
                <w:color w:val="auto"/>
                <w:sz w:val="24"/>
                <w:szCs w:val="24"/>
                <w:highlight w:val="yellow"/>
                <w:lang w:val="en-US" w:eastAsia="zh-CN"/>
              </w:rPr>
            </w:pPr>
            <w:r>
              <w:rPr>
                <w:rFonts w:hint="default" w:ascii="仿宋_GB2312" w:hAnsi="仿宋_GB2312" w:eastAsia="仿宋_GB2312" w:cs="仿宋_GB2312"/>
                <w:sz w:val="28"/>
                <w:szCs w:val="28"/>
                <w:lang w:val="en-US" w:eastAsia="zh-CN"/>
              </w:rPr>
              <w:t>许昌市城投发展集团有限公司投资性房地产评估服务</w:t>
            </w:r>
          </w:p>
          <w:p w14:paraId="131CA9B5">
            <w:pPr>
              <w:keepNext w:val="0"/>
              <w:keepLines w:val="0"/>
              <w:pageBreakBefore w:val="0"/>
              <w:widowControl w:val="0"/>
              <w:kinsoku/>
              <w:wordWrap/>
              <w:overflowPunct/>
              <w:topLinePunct w:val="0"/>
              <w:autoSpaceDE/>
              <w:autoSpaceDN/>
              <w:bidi w:val="0"/>
              <w:adjustRightInd/>
              <w:snapToGrid/>
              <w:spacing w:line="580" w:lineRule="exact"/>
              <w:ind w:left="320" w:hanging="241" w:hangingChars="100"/>
              <w:jc w:val="center"/>
              <w:textAlignment w:val="auto"/>
              <w:rPr>
                <w:rFonts w:hint="default" w:ascii="仿宋_GB2312" w:hAnsi="仿宋_GB2312" w:eastAsia="仿宋_GB2312" w:cs="仿宋_GB2312"/>
                <w:b/>
                <w:color w:val="000000"/>
                <w:sz w:val="24"/>
                <w:szCs w:val="24"/>
                <w:lang w:val="en-US" w:eastAsia="zh-CN"/>
              </w:rPr>
            </w:pPr>
          </w:p>
        </w:tc>
      </w:tr>
      <w:tr w14:paraId="73A4F426">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52185D98">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5BF79B81">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ED4ECC2">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BE954BC">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1A9C13B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2B70E83">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FA1468">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1BAC1DB">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B1A2F2">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5E2878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22E233D6">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6447C9A9">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77909D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33C688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宋体" w:eastAsia="仿宋_GB2312" w:cs="仿宋_GB2312"/>
                <w:b/>
                <w:color w:val="000000"/>
                <w:kern w:val="0"/>
                <w:sz w:val="32"/>
                <w:szCs w:val="32"/>
                <w:lang w:val="en-US" w:bidi="ar"/>
              </w:rPr>
              <w:t>**元（含税）</w:t>
            </w:r>
          </w:p>
        </w:tc>
      </w:tr>
    </w:tbl>
    <w:p w14:paraId="7C27CD58">
      <w:pPr>
        <w:shd w:val="clear" w:color="auto" w:fill="auto"/>
        <w:adjustRightInd w:val="0"/>
        <w:spacing w:line="560" w:lineRule="exact"/>
        <w:jc w:val="both"/>
        <w:rPr>
          <w:rFonts w:hint="eastAsia" w:ascii="仿宋_GB2312" w:hAnsi="仿宋_GB2312" w:eastAsia="仿宋_GB2312" w:cs="仿宋_GB2312"/>
          <w:sz w:val="32"/>
          <w:szCs w:val="32"/>
          <w:highlight w:val="none"/>
          <w:lang w:val="en-US" w:eastAsia="zh-CN"/>
        </w:rPr>
      </w:pPr>
    </w:p>
    <w:p w14:paraId="55D75A97">
      <w:pPr>
        <w:pStyle w:val="9"/>
        <w:numPr>
          <w:ilvl w:val="1"/>
          <w:numId w:val="0"/>
        </w:numPr>
        <w:ind w:leftChars="17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5F30335B">
      <w:pPr>
        <w:pStyle w:val="2"/>
        <w:rPr>
          <w:rFonts w:hint="default"/>
        </w:rPr>
      </w:pPr>
    </w:p>
    <w:p w14:paraId="25442E78">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6D09028C">
      <w:pPr>
        <w:pStyle w:val="9"/>
        <w:numPr>
          <w:ilvl w:val="1"/>
          <w:numId w:val="0"/>
        </w:num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75FF5F8">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lang w:val="en-US" w:eastAsia="zh-CN"/>
        </w:rPr>
      </w:pPr>
      <w:r>
        <w:rPr>
          <w:rFonts w:hint="default" w:ascii="Times New Roman" w:hAnsi="Times New Roman" w:eastAsia="仿宋_GB2312" w:cs="Times New Roman"/>
          <w:b/>
          <w:bCs/>
          <w:caps/>
          <w:color w:val="auto"/>
          <w:kern w:val="0"/>
          <w:sz w:val="40"/>
          <w:szCs w:val="40"/>
          <w:lang w:val="en-US" w:eastAsia="zh-CN"/>
        </w:rPr>
        <w:t xml:space="preserve"> 评分办法</w:t>
      </w:r>
    </w:p>
    <w:p w14:paraId="7D1703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198212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AE5FC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66325C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57BE9B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5514D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403EB7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7BC473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5"/>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45"/>
        <w:gridCol w:w="5749"/>
      </w:tblGrid>
      <w:tr w14:paraId="589E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76" w:type="dxa"/>
            <w:noWrap w:val="0"/>
            <w:vAlign w:val="center"/>
          </w:tcPr>
          <w:p w14:paraId="091E29C5">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45" w:type="dxa"/>
            <w:noWrap w:val="0"/>
            <w:vAlign w:val="center"/>
          </w:tcPr>
          <w:p w14:paraId="63511AC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5749" w:type="dxa"/>
            <w:noWrap w:val="0"/>
            <w:vAlign w:val="center"/>
          </w:tcPr>
          <w:p w14:paraId="658918F8">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r>
      <w:tr w14:paraId="4034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76" w:type="dxa"/>
            <w:noWrap w:val="0"/>
            <w:vAlign w:val="center"/>
          </w:tcPr>
          <w:p w14:paraId="37D7A641">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45" w:type="dxa"/>
            <w:noWrap w:val="0"/>
            <w:vAlign w:val="center"/>
          </w:tcPr>
          <w:p w14:paraId="6D480432">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0分</w:t>
            </w:r>
          </w:p>
        </w:tc>
        <w:tc>
          <w:tcPr>
            <w:tcW w:w="5749" w:type="dxa"/>
            <w:noWrap w:val="0"/>
            <w:vAlign w:val="center"/>
          </w:tcPr>
          <w:p w14:paraId="37368411">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1.收费超</w:t>
            </w:r>
            <w:r>
              <w:rPr>
                <w:rFonts w:hint="default" w:ascii="Times New Roman" w:hAnsi="Times New Roman" w:cs="Times New Roman"/>
                <w:color w:val="auto"/>
                <w:kern w:val="0"/>
                <w:sz w:val="28"/>
                <w:szCs w:val="28"/>
                <w:lang w:bidi="ar"/>
              </w:rPr>
              <w:t>过</w:t>
            </w:r>
            <w:r>
              <w:rPr>
                <w:rFonts w:hint="eastAsia" w:cs="Times New Roman"/>
                <w:color w:val="auto"/>
                <w:kern w:val="0"/>
                <w:sz w:val="28"/>
                <w:szCs w:val="28"/>
                <w:highlight w:val="none"/>
                <w:lang w:val="en-US" w:eastAsia="zh-CN" w:bidi="ar"/>
              </w:rPr>
              <w:t>38.1</w:t>
            </w:r>
            <w:r>
              <w:rPr>
                <w:rFonts w:hint="default" w:ascii="Times New Roman" w:hAnsi="Times New Roman" w:cs="Times New Roman"/>
                <w:color w:val="auto"/>
                <w:kern w:val="0"/>
                <w:sz w:val="28"/>
                <w:szCs w:val="28"/>
                <w:highlight w:val="none"/>
                <w:lang w:bidi="ar"/>
              </w:rPr>
              <w:t>万</w:t>
            </w:r>
            <w:r>
              <w:rPr>
                <w:rFonts w:hint="default" w:ascii="Times New Roman" w:hAnsi="Times New Roman" w:cs="Times New Roman"/>
                <w:color w:val="auto"/>
                <w:kern w:val="0"/>
                <w:sz w:val="28"/>
                <w:szCs w:val="28"/>
                <w:lang w:bidi="ar"/>
              </w:rPr>
              <w:t>元</w:t>
            </w:r>
            <w:r>
              <w:rPr>
                <w:rFonts w:hint="default" w:ascii="Times New Roman" w:hAnsi="Times New Roman" w:cs="Times New Roman"/>
                <w:color w:val="000000"/>
                <w:kern w:val="0"/>
                <w:sz w:val="28"/>
                <w:szCs w:val="28"/>
                <w:lang w:bidi="ar"/>
              </w:rPr>
              <w:t>为无效报价；</w:t>
            </w:r>
          </w:p>
          <w:p w14:paraId="7E775434">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2.所有参与的比选申请人报价的平均值作为基准报价；</w:t>
            </w:r>
          </w:p>
          <w:p w14:paraId="681A9DFD">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3.报价得分=（1-∣选聘基准价-评估费用报价∣/选聘基准价）×</w:t>
            </w:r>
            <w:r>
              <w:rPr>
                <w:rFonts w:hint="eastAsia" w:ascii="Times New Roman" w:hAnsi="Times New Roman" w:cs="Times New Roman"/>
                <w:color w:val="000000"/>
                <w:kern w:val="0"/>
                <w:sz w:val="28"/>
                <w:szCs w:val="28"/>
                <w:lang w:val="en-US" w:eastAsia="zh-CN" w:bidi="ar"/>
              </w:rPr>
              <w:t xml:space="preserve"> 3</w:t>
            </w:r>
            <w:r>
              <w:rPr>
                <w:rFonts w:hint="default" w:ascii="Times New Roman" w:hAnsi="Times New Roman" w:cs="Times New Roman"/>
                <w:color w:val="000000"/>
                <w:kern w:val="0"/>
                <w:sz w:val="28"/>
                <w:szCs w:val="28"/>
                <w:lang w:bidi="ar"/>
              </w:rPr>
              <w:t>0分。</w:t>
            </w:r>
          </w:p>
        </w:tc>
      </w:tr>
      <w:tr w14:paraId="7A7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76" w:type="dxa"/>
            <w:noWrap w:val="0"/>
            <w:vAlign w:val="center"/>
          </w:tcPr>
          <w:p w14:paraId="7A070ED8">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45" w:type="dxa"/>
            <w:noWrap w:val="0"/>
            <w:vAlign w:val="center"/>
          </w:tcPr>
          <w:p w14:paraId="51C9F8A6">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5749" w:type="dxa"/>
            <w:noWrap w:val="0"/>
            <w:vAlign w:val="center"/>
          </w:tcPr>
          <w:p w14:paraId="4FAD9685">
            <w:pPr>
              <w:numPr>
                <w:ilvl w:val="0"/>
                <w:numId w:val="0"/>
              </w:numPr>
              <w:tabs>
                <w:tab w:val="left" w:pos="622"/>
              </w:tabs>
              <w:spacing w:line="440" w:lineRule="exact"/>
              <w:jc w:val="left"/>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eastAsia="宋体" w:cs="Times New Roman"/>
                <w:color w:val="000000"/>
                <w:kern w:val="0"/>
                <w:sz w:val="28"/>
                <w:szCs w:val="28"/>
                <w:highlight w:val="none"/>
                <w:lang w:eastAsia="zh-CN" w:bidi="ar"/>
              </w:rPr>
              <w:t>服务团队须组建专业齐全的</w:t>
            </w:r>
            <w:r>
              <w:rPr>
                <w:rFonts w:hint="default" w:ascii="Times New Roman" w:hAnsi="Times New Roman" w:cs="Times New Roman"/>
                <w:color w:val="000000"/>
                <w:kern w:val="0"/>
                <w:sz w:val="28"/>
                <w:szCs w:val="28"/>
                <w:highlight w:val="none"/>
                <w:lang w:val="en-US" w:eastAsia="zh-CN" w:bidi="ar"/>
              </w:rPr>
              <w:t>评估</w:t>
            </w:r>
            <w:r>
              <w:rPr>
                <w:rFonts w:hint="default" w:ascii="Times New Roman" w:hAnsi="Times New Roman" w:eastAsia="宋体" w:cs="Times New Roman"/>
                <w:color w:val="000000"/>
                <w:kern w:val="0"/>
                <w:sz w:val="28"/>
                <w:szCs w:val="28"/>
                <w:highlight w:val="none"/>
                <w:lang w:eastAsia="zh-CN" w:bidi="ar"/>
              </w:rPr>
              <w:t>服务项目团队，指定项目负责人，项目服务团队的人员应具备以下要求：1、具有</w:t>
            </w:r>
            <w:r>
              <w:rPr>
                <w:rFonts w:hint="default" w:ascii="Times New Roman" w:hAnsi="Times New Roman" w:eastAsia="宋体" w:cs="Times New Roman"/>
                <w:color w:val="000000"/>
                <w:kern w:val="0"/>
                <w:sz w:val="28"/>
                <w:szCs w:val="28"/>
                <w:highlight w:val="none"/>
                <w:lang w:val="en-US" w:eastAsia="zh-CN" w:bidi="ar"/>
              </w:rPr>
              <w:t>注册资产评估师</w:t>
            </w:r>
            <w:r>
              <w:rPr>
                <w:rFonts w:hint="default" w:ascii="Times New Roman" w:hAnsi="Times New Roman" w:eastAsia="宋体" w:cs="Times New Roman"/>
                <w:color w:val="000000"/>
                <w:kern w:val="0"/>
                <w:sz w:val="28"/>
                <w:szCs w:val="28"/>
                <w:highlight w:val="none"/>
                <w:lang w:eastAsia="zh-CN" w:bidi="ar"/>
              </w:rPr>
              <w:t>资格；2、执业满三年；3、从事</w:t>
            </w:r>
            <w:r>
              <w:rPr>
                <w:rFonts w:hint="default" w:ascii="Times New Roman" w:hAnsi="Times New Roman" w:cs="Times New Roman"/>
                <w:color w:val="000000"/>
                <w:kern w:val="0"/>
                <w:sz w:val="28"/>
                <w:szCs w:val="28"/>
                <w:highlight w:val="none"/>
                <w:lang w:val="en-US" w:eastAsia="zh-CN" w:bidi="ar"/>
              </w:rPr>
              <w:t>资产评估</w:t>
            </w:r>
            <w:r>
              <w:rPr>
                <w:rFonts w:hint="default" w:ascii="Times New Roman" w:hAnsi="Times New Roman" w:eastAsia="宋体" w:cs="Times New Roman"/>
                <w:color w:val="000000"/>
                <w:kern w:val="0"/>
                <w:sz w:val="28"/>
                <w:szCs w:val="28"/>
                <w:highlight w:val="none"/>
                <w:lang w:eastAsia="zh-CN" w:bidi="ar"/>
              </w:rPr>
              <w:t>工作年限3年以上。</w:t>
            </w:r>
            <w:r>
              <w:rPr>
                <w:rFonts w:hint="default" w:ascii="Times New Roman" w:hAnsi="Times New Roman" w:cs="Times New Roman"/>
                <w:color w:val="000000"/>
                <w:kern w:val="0"/>
                <w:sz w:val="28"/>
                <w:szCs w:val="28"/>
                <w:highlight w:val="none"/>
                <w:lang w:val="en-US" w:eastAsia="zh-CN" w:bidi="ar"/>
              </w:rPr>
              <w:t>同时</w:t>
            </w:r>
            <w:r>
              <w:rPr>
                <w:rFonts w:hint="default" w:ascii="Times New Roman" w:hAnsi="Times New Roman" w:eastAsia="宋体" w:cs="Times New Roman"/>
                <w:color w:val="000000"/>
                <w:kern w:val="0"/>
                <w:sz w:val="28"/>
                <w:szCs w:val="28"/>
                <w:highlight w:val="none"/>
                <w:lang w:eastAsia="zh-CN" w:bidi="ar"/>
              </w:rPr>
              <w:t>符合</w:t>
            </w:r>
            <w:r>
              <w:rPr>
                <w:rFonts w:hint="default" w:ascii="Times New Roman" w:hAnsi="Times New Roman" w:cs="Times New Roman"/>
                <w:color w:val="000000"/>
                <w:kern w:val="0"/>
                <w:sz w:val="28"/>
                <w:szCs w:val="28"/>
                <w:highlight w:val="none"/>
                <w:lang w:val="en-US" w:eastAsia="zh-CN" w:bidi="ar"/>
              </w:rPr>
              <w:t>以上</w:t>
            </w:r>
            <w:r>
              <w:rPr>
                <w:rFonts w:hint="default" w:ascii="Times New Roman" w:hAnsi="Times New Roman" w:eastAsia="宋体" w:cs="Times New Roman"/>
                <w:color w:val="000000"/>
                <w:kern w:val="0"/>
                <w:sz w:val="28"/>
                <w:szCs w:val="28"/>
                <w:highlight w:val="none"/>
                <w:lang w:eastAsia="zh-CN" w:bidi="ar"/>
              </w:rPr>
              <w:t>条件</w:t>
            </w:r>
            <w:r>
              <w:rPr>
                <w:rFonts w:hint="default" w:ascii="Times New Roman" w:hAnsi="Times New Roman" w:cs="Times New Roman"/>
                <w:color w:val="000000"/>
                <w:kern w:val="0"/>
                <w:sz w:val="28"/>
                <w:szCs w:val="28"/>
                <w:highlight w:val="none"/>
                <w:lang w:val="en-US" w:eastAsia="zh-CN" w:bidi="ar"/>
              </w:rPr>
              <w:t>者，每有一名</w:t>
            </w:r>
            <w:r>
              <w:rPr>
                <w:rFonts w:hint="default" w:ascii="Times New Roman" w:hAnsi="Times New Roman" w:eastAsia="宋体" w:cs="Times New Roman"/>
                <w:color w:val="000000"/>
                <w:kern w:val="0"/>
                <w:sz w:val="28"/>
                <w:szCs w:val="28"/>
                <w:highlight w:val="none"/>
                <w:lang w:eastAsia="zh-CN" w:bidi="ar"/>
              </w:rPr>
              <w:t>得</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eastAsia="zh-CN" w:bidi="ar"/>
              </w:rPr>
              <w:t>分，最高</w:t>
            </w:r>
            <w:r>
              <w:rPr>
                <w:rFonts w:hint="default" w:ascii="Times New Roman" w:hAnsi="Times New Roman" w:cs="Times New Roman"/>
                <w:color w:val="000000"/>
                <w:kern w:val="0"/>
                <w:sz w:val="28"/>
                <w:szCs w:val="28"/>
                <w:highlight w:val="none"/>
                <w:lang w:val="en-US" w:eastAsia="zh-CN" w:bidi="ar"/>
              </w:rPr>
              <w:t>20</w:t>
            </w:r>
            <w:r>
              <w:rPr>
                <w:rFonts w:hint="default" w:ascii="Times New Roman" w:hAnsi="Times New Roman" w:eastAsia="宋体" w:cs="Times New Roman"/>
                <w:color w:val="000000"/>
                <w:kern w:val="0"/>
                <w:sz w:val="28"/>
                <w:szCs w:val="28"/>
                <w:highlight w:val="none"/>
                <w:lang w:eastAsia="zh-CN" w:bidi="ar"/>
              </w:rPr>
              <w:t>分。</w:t>
            </w:r>
          </w:p>
          <w:p w14:paraId="64CA6E37">
            <w:pPr>
              <w:numPr>
                <w:ilvl w:val="0"/>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注</w:t>
            </w:r>
            <w:r>
              <w:rPr>
                <w:rFonts w:hint="default" w:ascii="Times New Roman" w:hAnsi="Times New Roman" w:eastAsia="宋体" w:cs="Times New Roman"/>
                <w:color w:val="000000"/>
                <w:kern w:val="0"/>
                <w:sz w:val="28"/>
                <w:szCs w:val="28"/>
                <w:highlight w:val="none"/>
                <w:lang w:val="en-US" w:eastAsia="zh-CN" w:bidi="ar"/>
              </w:rPr>
              <w:t>：以上人员证书除提供证书复印件或扫描件外同时应提供投标人为该人员缴纳近1年内任意连续3个月的社保证明材料，否则不得分</w:t>
            </w:r>
          </w:p>
        </w:tc>
      </w:tr>
      <w:tr w14:paraId="623C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76" w:type="dxa"/>
            <w:noWrap w:val="0"/>
            <w:vAlign w:val="center"/>
          </w:tcPr>
          <w:p w14:paraId="5543469D">
            <w:pPr>
              <w:tabs>
                <w:tab w:val="left" w:pos="622"/>
              </w:tabs>
              <w:spacing w:line="440" w:lineRule="exact"/>
              <w:jc w:val="center"/>
              <w:rPr>
                <w:rFonts w:hint="default" w:ascii="Times New Roman" w:hAnsi="Times New Roman" w:cs="Times New Roman"/>
                <w:b/>
                <w:sz w:val="28"/>
                <w:szCs w:val="28"/>
                <w:highlight w:val="yellow"/>
              </w:rPr>
            </w:pPr>
            <w:r>
              <w:rPr>
                <w:rFonts w:hint="default" w:ascii="Times New Roman" w:hAnsi="Times New Roman" w:cs="Times New Roman"/>
                <w:b/>
                <w:color w:val="000000"/>
                <w:kern w:val="0"/>
                <w:sz w:val="28"/>
                <w:szCs w:val="28"/>
                <w:highlight w:val="none"/>
                <w:lang w:bidi="ar"/>
              </w:rPr>
              <w:t>服务方案</w:t>
            </w:r>
          </w:p>
        </w:tc>
        <w:tc>
          <w:tcPr>
            <w:tcW w:w="1345" w:type="dxa"/>
            <w:noWrap w:val="0"/>
            <w:vAlign w:val="center"/>
          </w:tcPr>
          <w:p w14:paraId="76A223B5">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5749" w:type="dxa"/>
            <w:noWrap w:val="0"/>
            <w:vAlign w:val="center"/>
          </w:tcPr>
          <w:p w14:paraId="1E05EC0B">
            <w:pPr>
              <w:numPr>
                <w:ilvl w:val="0"/>
                <w:numId w:val="3"/>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评估工作方案（10分）：整体</w:t>
            </w:r>
            <w:r>
              <w:rPr>
                <w:rFonts w:hint="default" w:ascii="Times New Roman" w:hAnsi="Times New Roman" w:cs="Times New Roman"/>
                <w:color w:val="auto"/>
                <w:sz w:val="28"/>
                <w:szCs w:val="28"/>
                <w:highlight w:val="none"/>
                <w:lang w:val="en-US" w:eastAsia="zh-CN"/>
              </w:rPr>
              <w:t>工作方案十分具体详细，重点突出，</w:t>
            </w:r>
            <w:r>
              <w:rPr>
                <w:rFonts w:hint="default" w:ascii="Times New Roman" w:hAnsi="Times New Roman" w:cs="Times New Roman"/>
                <w:sz w:val="28"/>
                <w:szCs w:val="28"/>
                <w:highlight w:val="none"/>
                <w:lang w:val="en-US" w:eastAsia="zh-CN"/>
              </w:rPr>
              <w:t>工作计划安排合理得当，能够保证项目按时保质、保量完成。优秀6-10分；良好1-5分；没有不得分。</w:t>
            </w:r>
          </w:p>
          <w:p w14:paraId="103E8739">
            <w:pPr>
              <w:numPr>
                <w:ilvl w:val="0"/>
                <w:numId w:val="3"/>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质量控制（10分）：是否制定完善的质量控制政策和程序、执行标准，各级复核要点是否清晰明了。优秀6-10分；良好1-5分；没有不得分。</w:t>
            </w:r>
          </w:p>
          <w:p w14:paraId="201A8935">
            <w:pPr>
              <w:numPr>
                <w:ilvl w:val="0"/>
                <w:numId w:val="3"/>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保密及服务承诺（10分）：保密措施全面完善；能够严格按计划完成相关工作，能够根据比选人的进度安排报告交付时间。遇到临时修改，能及时响应。机制灵活，团队力量雄厚，能主动推进项目；优秀6-10分；良好1-5分；没有不得分。</w:t>
            </w:r>
          </w:p>
        </w:tc>
      </w:tr>
      <w:tr w14:paraId="5E86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76" w:type="dxa"/>
            <w:noWrap w:val="0"/>
            <w:vAlign w:val="center"/>
          </w:tcPr>
          <w:p w14:paraId="5303CE64">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45" w:type="dxa"/>
            <w:noWrap w:val="0"/>
            <w:vAlign w:val="center"/>
          </w:tcPr>
          <w:p w14:paraId="4B21B423">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5749" w:type="dxa"/>
            <w:noWrap w:val="0"/>
            <w:vAlign w:val="center"/>
          </w:tcPr>
          <w:p w14:paraId="7407B48B">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eastAsia="zh-CN"/>
              </w:rPr>
              <w:t>每提供一份</w:t>
            </w:r>
            <w:r>
              <w:rPr>
                <w:rFonts w:hint="eastAsia" w:cs="Times New Roman"/>
                <w:sz w:val="28"/>
                <w:szCs w:val="28"/>
                <w:lang w:val="en-US" w:eastAsia="zh-CN"/>
              </w:rPr>
              <w:t>2023年1月1日以来</w:t>
            </w:r>
            <w:r>
              <w:rPr>
                <w:rFonts w:hint="default" w:ascii="Times New Roman" w:hAnsi="Times New Roman" w:cs="Times New Roman"/>
                <w:sz w:val="28"/>
                <w:szCs w:val="28"/>
                <w:lang w:val="en-US" w:eastAsia="zh-CN"/>
              </w:rPr>
              <w:t>项目资产</w:t>
            </w:r>
            <w:r>
              <w:rPr>
                <w:rFonts w:hint="default" w:ascii="Times New Roman" w:hAnsi="Times New Roman" w:cs="Times New Roman"/>
                <w:sz w:val="28"/>
                <w:szCs w:val="28"/>
                <w:highlight w:val="none"/>
                <w:lang w:val="en-US" w:eastAsia="zh-CN"/>
              </w:rPr>
              <w:t>评估服务</w:t>
            </w:r>
            <w:r>
              <w:rPr>
                <w:rFonts w:hint="default" w:ascii="Times New Roman" w:hAnsi="Times New Roman" w:cs="Times New Roman"/>
                <w:sz w:val="28"/>
                <w:szCs w:val="28"/>
                <w:lang w:val="en-US" w:eastAsia="zh-CN"/>
              </w:rPr>
              <w:t>合同</w:t>
            </w:r>
            <w:r>
              <w:rPr>
                <w:rFonts w:hint="default" w:ascii="Times New Roman" w:hAnsi="Times New Roman" w:cs="Times New Roman"/>
                <w:sz w:val="28"/>
                <w:szCs w:val="28"/>
                <w:lang w:eastAsia="zh-CN"/>
              </w:rPr>
              <w:t>得</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lang w:eastAsia="zh-CN"/>
              </w:rPr>
              <w:t>分</w:t>
            </w:r>
            <w:r>
              <w:rPr>
                <w:rFonts w:hint="default" w:ascii="Times New Roman" w:hAnsi="Times New Roman" w:cs="Times New Roman"/>
                <w:sz w:val="28"/>
                <w:szCs w:val="28"/>
                <w:lang w:val="en-US" w:eastAsia="zh-CN"/>
              </w:rPr>
              <w:t>，最高20分。</w:t>
            </w:r>
          </w:p>
          <w:p w14:paraId="01806F0F">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时间以合同签订时间为准，需提供合同扫描件或复印件，否则不得分。</w:t>
            </w:r>
          </w:p>
          <w:p w14:paraId="6573A93E">
            <w:pPr>
              <w:tabs>
                <w:tab w:val="left" w:pos="622"/>
              </w:tabs>
              <w:spacing w:line="440" w:lineRule="exact"/>
              <w:jc w:val="left"/>
              <w:rPr>
                <w:rFonts w:hint="default" w:ascii="Times New Roman" w:hAnsi="Times New Roman" w:cs="Times New Roman"/>
                <w:sz w:val="28"/>
                <w:szCs w:val="28"/>
                <w:lang w:val="en-US" w:eastAsia="zh-CN"/>
              </w:rPr>
            </w:pPr>
          </w:p>
        </w:tc>
      </w:tr>
      <w:tr w14:paraId="635A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76" w:type="dxa"/>
            <w:noWrap w:val="0"/>
            <w:vAlign w:val="center"/>
          </w:tcPr>
          <w:p w14:paraId="65AB5BCF">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45" w:type="dxa"/>
            <w:noWrap w:val="0"/>
            <w:vAlign w:val="center"/>
          </w:tcPr>
          <w:p w14:paraId="29821E3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5749" w:type="dxa"/>
            <w:noWrap w:val="0"/>
            <w:vAlign w:val="center"/>
          </w:tcPr>
          <w:p w14:paraId="6C22A81B">
            <w:pPr>
              <w:tabs>
                <w:tab w:val="left" w:pos="622"/>
              </w:tabs>
              <w:jc w:val="center"/>
              <w:rPr>
                <w:rFonts w:hint="default" w:ascii="Times New Roman" w:hAnsi="Times New Roman" w:cs="Times New Roman"/>
                <w:sz w:val="24"/>
              </w:rPr>
            </w:pPr>
          </w:p>
        </w:tc>
      </w:tr>
    </w:tbl>
    <w:p w14:paraId="5EB2DFA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155CA6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1F831F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73B567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5AADC8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749D70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59B039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22A72E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071F219A">
      <w:pPr>
        <w:rPr>
          <w:rFonts w:hint="eastAsia"/>
          <w:lang w:val="en-US" w:eastAsia="zh-CN"/>
        </w:rPr>
      </w:pPr>
    </w:p>
    <w:p w14:paraId="0A03B1F0">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6B2D967D">
      <w:pPr>
        <w:rPr>
          <w:rFonts w:hint="default" w:ascii="Times New Roman" w:hAnsi="Times New Roman" w:cs="Times New Roman"/>
          <w:lang w:val="zh-CN"/>
        </w:rPr>
      </w:pPr>
    </w:p>
    <w:p w14:paraId="74A6865F">
      <w:pPr>
        <w:pStyle w:val="2"/>
        <w:rPr>
          <w:rFonts w:hint="default" w:ascii="Times New Roman" w:hAnsi="Times New Roman" w:cs="Times New Roman"/>
          <w:lang w:val="zh-CN"/>
        </w:rPr>
      </w:pPr>
    </w:p>
    <w:p w14:paraId="3C84F4B8">
      <w:pPr>
        <w:pStyle w:val="5"/>
        <w:rPr>
          <w:rFonts w:hint="default" w:ascii="Times New Roman" w:hAnsi="Times New Roman" w:cs="Times New Roman"/>
          <w:lang w:val="zh-CN"/>
        </w:rPr>
      </w:pPr>
    </w:p>
    <w:p w14:paraId="18F3E789">
      <w:pPr>
        <w:pStyle w:val="5"/>
        <w:rPr>
          <w:rFonts w:hint="default" w:ascii="Times New Roman" w:hAnsi="Times New Roman" w:cs="Times New Roman"/>
          <w:lang w:val="zh-CN"/>
        </w:rPr>
      </w:pPr>
    </w:p>
    <w:p w14:paraId="6330CBED">
      <w:pPr>
        <w:pStyle w:val="5"/>
        <w:rPr>
          <w:rFonts w:hint="default" w:ascii="Times New Roman" w:hAnsi="Times New Roman" w:cs="Times New Roman"/>
          <w:lang w:val="zh-CN"/>
        </w:rPr>
      </w:pPr>
    </w:p>
    <w:p w14:paraId="2E66E21E">
      <w:pPr>
        <w:pStyle w:val="5"/>
        <w:rPr>
          <w:rFonts w:hint="default" w:ascii="Times New Roman" w:hAnsi="Times New Roman" w:cs="Times New Roman"/>
          <w:lang w:val="zh-CN"/>
        </w:rPr>
      </w:pPr>
    </w:p>
    <w:p w14:paraId="1898DBF0">
      <w:pPr>
        <w:pStyle w:val="5"/>
        <w:rPr>
          <w:rFonts w:hint="default" w:ascii="Times New Roman" w:hAnsi="Times New Roman" w:cs="Times New Roman"/>
          <w:lang w:val="zh-CN"/>
        </w:rPr>
      </w:pPr>
    </w:p>
    <w:p w14:paraId="5EF074F4">
      <w:pPr>
        <w:pStyle w:val="5"/>
        <w:rPr>
          <w:rFonts w:hint="default" w:ascii="Times New Roman" w:hAnsi="Times New Roman" w:cs="Times New Roman"/>
          <w:lang w:val="zh-CN"/>
        </w:rPr>
      </w:pPr>
    </w:p>
    <w:p w14:paraId="09E12074">
      <w:pPr>
        <w:pStyle w:val="5"/>
        <w:rPr>
          <w:rFonts w:hint="default" w:ascii="Times New Roman" w:hAnsi="Times New Roman" w:cs="Times New Roman"/>
          <w:lang w:val="zh-CN"/>
        </w:rPr>
      </w:pPr>
    </w:p>
    <w:p w14:paraId="76D3A56D">
      <w:pPr>
        <w:pStyle w:val="5"/>
        <w:rPr>
          <w:rFonts w:hint="default" w:ascii="Times New Roman" w:hAnsi="Times New Roman" w:cs="Times New Roman"/>
          <w:lang w:val="zh-CN"/>
        </w:rPr>
      </w:pPr>
    </w:p>
    <w:p w14:paraId="24F3917C">
      <w:pPr>
        <w:pStyle w:val="5"/>
        <w:rPr>
          <w:rFonts w:hint="default" w:ascii="Times New Roman" w:hAnsi="Times New Roman" w:cs="Times New Roman"/>
          <w:lang w:val="zh-CN"/>
        </w:rPr>
      </w:pPr>
    </w:p>
    <w:p w14:paraId="65319A60">
      <w:pPr>
        <w:pStyle w:val="5"/>
        <w:rPr>
          <w:rFonts w:hint="default" w:ascii="Times New Roman" w:hAnsi="Times New Roman" w:cs="Times New Roman"/>
          <w:lang w:val="zh-CN"/>
        </w:rPr>
      </w:pPr>
    </w:p>
    <w:p w14:paraId="3248360C">
      <w:pPr>
        <w:pStyle w:val="5"/>
        <w:rPr>
          <w:rFonts w:hint="default" w:ascii="Times New Roman" w:hAnsi="Times New Roman" w:cs="Times New Roman"/>
          <w:lang w:val="zh-CN"/>
        </w:rPr>
      </w:pPr>
    </w:p>
    <w:p w14:paraId="75ADD4AC">
      <w:pPr>
        <w:pStyle w:val="9"/>
        <w:numPr>
          <w:ilvl w:val="1"/>
          <w:numId w:val="0"/>
        </w:numPr>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2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25360AE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C96E5DB">
      <w:pPr>
        <w:rPr>
          <w:rFonts w:hint="default" w:ascii="Times New Roman" w:hAnsi="Times New Roman" w:cs="Times New Roman"/>
          <w:strike w:val="0"/>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5AA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C652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CC652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F956"/>
    <w:multiLevelType w:val="singleLevel"/>
    <w:tmpl w:val="9155F956"/>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9"/>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21"/>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024B5"/>
    <w:rsid w:val="07CA7C95"/>
    <w:rsid w:val="07FC7F18"/>
    <w:rsid w:val="0CD33887"/>
    <w:rsid w:val="0E6C6042"/>
    <w:rsid w:val="1F436D45"/>
    <w:rsid w:val="1FE628AB"/>
    <w:rsid w:val="229C4D78"/>
    <w:rsid w:val="28226CFB"/>
    <w:rsid w:val="2AF024B5"/>
    <w:rsid w:val="2EAD0EF3"/>
    <w:rsid w:val="2EFD72FD"/>
    <w:rsid w:val="32923106"/>
    <w:rsid w:val="36572A3A"/>
    <w:rsid w:val="36730100"/>
    <w:rsid w:val="44B55D88"/>
    <w:rsid w:val="459E376B"/>
    <w:rsid w:val="4632659C"/>
    <w:rsid w:val="4D554F23"/>
    <w:rsid w:val="51E02835"/>
    <w:rsid w:val="5209753A"/>
    <w:rsid w:val="5C554DA7"/>
    <w:rsid w:val="5E1748FD"/>
    <w:rsid w:val="644D7073"/>
    <w:rsid w:val="67B424D2"/>
    <w:rsid w:val="6CE12B8C"/>
    <w:rsid w:val="74EE2320"/>
    <w:rsid w:val="75004CFB"/>
    <w:rsid w:val="7AE0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9">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kern w:val="0"/>
      <w:sz w:val="34"/>
    </w:r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unhideWhenUsed/>
    <w:qFormat/>
    <w:uiPriority w:val="99"/>
    <w:pPr>
      <w:ind w:firstLine="420" w:firstLineChars="200"/>
    </w:pPr>
  </w:style>
  <w:style w:type="paragraph" w:styleId="6">
    <w:name w:val="Body Text Indent"/>
    <w:basedOn w:val="1"/>
    <w:next w:val="7"/>
    <w:qFormat/>
    <w:uiPriority w:val="0"/>
    <w:pPr>
      <w:adjustRightInd w:val="0"/>
      <w:spacing w:after="120" w:line="360" w:lineRule="atLeast"/>
      <w:ind w:left="420" w:leftChars="200"/>
      <w:jc w:val="left"/>
      <w:textAlignment w:val="baseline"/>
    </w:pPr>
    <w:rPr>
      <w:sz w:val="24"/>
    </w:rPr>
  </w:style>
  <w:style w:type="paragraph" w:styleId="7">
    <w:name w:val="envelope return"/>
    <w:basedOn w:val="1"/>
    <w:unhideWhenUsed/>
    <w:qFormat/>
    <w:uiPriority w:val="99"/>
    <w:pPr>
      <w:snapToGrid w:val="0"/>
    </w:pPr>
    <w:rPr>
      <w:rFonts w:ascii="Arial" w:hAnsi="Arial"/>
    </w:rPr>
  </w:style>
  <w:style w:type="paragraph" w:styleId="10">
    <w:name w:val="Plain Text"/>
    <w:basedOn w:val="1"/>
    <w:qFormat/>
    <w:uiPriority w:val="0"/>
    <w:rPr>
      <w:sz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3">
    <w:name w:val="List"/>
    <w:basedOn w:val="1"/>
    <w:qFormat/>
    <w:uiPriority w:val="0"/>
    <w:pPr>
      <w:ind w:left="420" w:hanging="420"/>
    </w:pPr>
    <w:rPr>
      <w:szCs w:val="20"/>
    </w:rPr>
  </w:style>
  <w:style w:type="paragraph" w:styleId="14">
    <w:name w:val="Normal (Web)"/>
    <w:basedOn w:val="1"/>
    <w:qFormat/>
    <w:uiPriority w:val="0"/>
    <w:pPr>
      <w:spacing w:beforeAutospacing="1" w:afterAutospacing="1"/>
      <w:jc w:val="left"/>
    </w:pPr>
    <w:rPr>
      <w:rFonts w:cs="Times New Roman"/>
      <w:kern w:val="0"/>
      <w:sz w:val="24"/>
    </w:rPr>
  </w:style>
  <w:style w:type="character" w:styleId="17">
    <w:name w:val="Strong"/>
    <w:basedOn w:val="16"/>
    <w:qFormat/>
    <w:uiPriority w:val="0"/>
    <w:rPr>
      <w:b/>
    </w:rPr>
  </w:style>
  <w:style w:type="paragraph" w:customStyle="1" w:styleId="18">
    <w:name w:val="style4"/>
    <w:basedOn w:val="1"/>
    <w:next w:val="19"/>
    <w:qFormat/>
    <w:uiPriority w:val="0"/>
    <w:pPr>
      <w:widowControl/>
      <w:spacing w:before="280" w:after="280"/>
    </w:pPr>
    <w:rPr>
      <w:rFonts w:ascii="宋体"/>
      <w:sz w:val="18"/>
    </w:rPr>
  </w:style>
  <w:style w:type="paragraph" w:customStyle="1" w:styleId="1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2">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1425</Words>
  <Characters>1469</Characters>
  <Lines>0</Lines>
  <Paragraphs>0</Paragraphs>
  <TotalTime>1</TotalTime>
  <ScaleCrop>false</ScaleCrop>
  <LinksUpToDate>false</LinksUpToDate>
  <CharactersWithSpaces>1482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2025-03-21T07:49:00Z</dcterms:created>
  <dc:creator>倍坚强.</dc:creator>
  <cp:lastModifiedBy>WPS_1658882146</cp:lastModifiedBy>
  <dcterms:modified xsi:type="dcterms:W3CDTF">2026-03-17T00:58:47Z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B4A43F1C5523494E8C97BEFF731D8F2A_13</vt:lpwstr>
  </property>
  <property fmtid="{D5CDD505-2E9C-101B-9397-08002B2CF9AE}" pid="4" name="KSOTemplateDocerSaveRecord">
    <vt:lpwstr>eyJoZGlkIjoiNmU0YjJhZWUxZjc0OTM0MTY2YTE5YThiODFjZWFkMzAiLCJ1c2VySWQiOiIxMTMyMDY1MTUyIn0=</vt:lpwstr>
  </property>
</Properties>
</file>